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B852" w14:textId="6B0A8CF0" w:rsidR="00AE5E36" w:rsidRPr="00D67E94" w:rsidRDefault="007F1312" w:rsidP="00F17303">
      <w:pPr>
        <w:pStyle w:val="Heading1"/>
      </w:pPr>
      <w:r>
        <w:t>Colour Spaces Part 1</w:t>
      </w:r>
    </w:p>
    <w:p w14:paraId="705087A2" w14:textId="351FCA41" w:rsidR="00CA22F7" w:rsidRDefault="002010D7" w:rsidP="00CA22F7">
      <w:pPr>
        <w:spacing w:after="200" w:line="360" w:lineRule="auto"/>
      </w:pPr>
      <w:r>
        <w:t xml:space="preserve">Links </w:t>
      </w:r>
      <w:r w:rsidR="00C86ADD">
        <w:t>for navigation within this document</w:t>
      </w:r>
      <w:r w:rsidR="00965F66">
        <w:t>.</w:t>
      </w:r>
    </w:p>
    <w:p w14:paraId="3136646B" w14:textId="23AD7D8C" w:rsidR="00965F66" w:rsidRDefault="00965F66" w:rsidP="00CA22F7">
      <w:pPr>
        <w:spacing w:after="200" w:line="360" w:lineRule="auto"/>
      </w:pPr>
      <w:r w:rsidRPr="00965F66">
        <w:t>This module is split into 6 chapters and will cover the following topics:</w:t>
      </w:r>
    </w:p>
    <w:bookmarkStart w:id="0" w:name="_Module_content"/>
    <w:bookmarkEnd w:id="0"/>
    <w:p w14:paraId="5652BCF1" w14:textId="7F5A2DAD" w:rsidR="00C25507" w:rsidRPr="00C25507" w:rsidRDefault="001A3ADF" w:rsidP="00C25507">
      <w:pPr>
        <w:pStyle w:val="ListParagraph"/>
        <w:numPr>
          <w:ilvl w:val="0"/>
          <w:numId w:val="7"/>
        </w:numPr>
        <w:spacing w:after="200" w:line="360" w:lineRule="auto"/>
        <w:rPr>
          <w:rStyle w:val="Hyperlink"/>
          <w:color w:val="auto"/>
          <w:u w:val="none"/>
        </w:rPr>
      </w:pPr>
      <w:r>
        <w:fldChar w:fldCharType="begin"/>
      </w:r>
      <w:r>
        <w:instrText>HYPERLINK  \l "_Introduction"</w:instrText>
      </w:r>
      <w:r>
        <w:fldChar w:fldCharType="separate"/>
      </w:r>
      <w:r w:rsidRPr="001A3ADF">
        <w:rPr>
          <w:rStyle w:val="Hyperlink"/>
        </w:rPr>
        <w:t>Introduc</w:t>
      </w:r>
      <w:r w:rsidRPr="001A3ADF">
        <w:rPr>
          <w:rStyle w:val="Hyperlink"/>
        </w:rPr>
        <w:t>t</w:t>
      </w:r>
      <w:r w:rsidRPr="001A3ADF">
        <w:rPr>
          <w:rStyle w:val="Hyperlink"/>
        </w:rPr>
        <w:t>ion</w:t>
      </w:r>
      <w:r>
        <w:fldChar w:fldCharType="end"/>
      </w:r>
    </w:p>
    <w:p w14:paraId="08EE3E93" w14:textId="51BB15A0" w:rsidR="003844DB" w:rsidRDefault="003844DB" w:rsidP="003844DB">
      <w:pPr>
        <w:pStyle w:val="ListParagraph"/>
        <w:numPr>
          <w:ilvl w:val="0"/>
          <w:numId w:val="7"/>
        </w:numPr>
        <w:spacing w:after="200" w:line="360" w:lineRule="auto"/>
      </w:pPr>
      <w:hyperlink w:anchor="_Chapter_One:_What" w:history="1">
        <w:r w:rsidR="00BD7E9A" w:rsidRPr="003844DB">
          <w:rPr>
            <w:rStyle w:val="Hyperlink"/>
          </w:rPr>
          <w:t>Chapter One</w:t>
        </w:r>
        <w:r w:rsidR="00BD7E9A" w:rsidRPr="003844DB">
          <w:rPr>
            <w:rStyle w:val="Hyperlink"/>
          </w:rPr>
          <w:t>:</w:t>
        </w:r>
        <w:r w:rsidR="00BD7E9A" w:rsidRPr="003844DB">
          <w:rPr>
            <w:rStyle w:val="Hyperlink"/>
          </w:rPr>
          <w:t xml:space="preserve"> </w:t>
        </w:r>
        <w:r w:rsidR="007842C8" w:rsidRPr="003844DB">
          <w:rPr>
            <w:rStyle w:val="Hyperlink"/>
          </w:rPr>
          <w:t>What is a</w:t>
        </w:r>
        <w:r w:rsidR="007842C8" w:rsidRPr="003844DB">
          <w:rPr>
            <w:rStyle w:val="Hyperlink"/>
          </w:rPr>
          <w:t xml:space="preserve"> </w:t>
        </w:r>
        <w:r w:rsidR="007842C8" w:rsidRPr="003844DB">
          <w:rPr>
            <w:rStyle w:val="Hyperlink"/>
          </w:rPr>
          <w:t>colour space and why should we care?</w:t>
        </w:r>
      </w:hyperlink>
    </w:p>
    <w:p w14:paraId="210BBE99" w14:textId="2EC57F9D" w:rsidR="003844DB" w:rsidRDefault="003844DB" w:rsidP="003844DB">
      <w:pPr>
        <w:pStyle w:val="ListParagraph"/>
        <w:numPr>
          <w:ilvl w:val="0"/>
          <w:numId w:val="7"/>
        </w:numPr>
        <w:spacing w:after="200" w:line="360" w:lineRule="auto"/>
      </w:pPr>
      <w:hyperlink w:anchor="_Chapter_Two:_Different" w:history="1">
        <w:r w:rsidR="00BD7E9A" w:rsidRPr="003844DB">
          <w:rPr>
            <w:rStyle w:val="Hyperlink"/>
          </w:rPr>
          <w:t>Chap</w:t>
        </w:r>
        <w:r w:rsidR="00BD7E9A" w:rsidRPr="003844DB">
          <w:rPr>
            <w:rStyle w:val="Hyperlink"/>
          </w:rPr>
          <w:t>t</w:t>
        </w:r>
        <w:r w:rsidR="00BD7E9A" w:rsidRPr="003844DB">
          <w:rPr>
            <w:rStyle w:val="Hyperlink"/>
          </w:rPr>
          <w:t>er Two:</w:t>
        </w:r>
        <w:r w:rsidR="00404088" w:rsidRPr="003844DB">
          <w:rPr>
            <w:rStyle w:val="Hyperlink"/>
          </w:rPr>
          <w:t xml:space="preserve"> Dif</w:t>
        </w:r>
        <w:r w:rsidR="00404088" w:rsidRPr="003844DB">
          <w:rPr>
            <w:rStyle w:val="Hyperlink"/>
          </w:rPr>
          <w:t>f</w:t>
        </w:r>
        <w:r w:rsidR="00404088" w:rsidRPr="003844DB">
          <w:rPr>
            <w:rStyle w:val="Hyperlink"/>
          </w:rPr>
          <w:t>erent display colour spaces</w:t>
        </w:r>
      </w:hyperlink>
    </w:p>
    <w:p w14:paraId="22E9F080" w14:textId="4CA996D1" w:rsidR="0004076D" w:rsidRPr="003844DB" w:rsidRDefault="0004076D" w:rsidP="003844DB">
      <w:pPr>
        <w:pStyle w:val="ListParagraph"/>
        <w:numPr>
          <w:ilvl w:val="0"/>
          <w:numId w:val="7"/>
        </w:numPr>
        <w:spacing w:after="200" w:line="360" w:lineRule="auto"/>
        <w:rPr>
          <w:rStyle w:val="Hyperlink"/>
          <w:color w:val="auto"/>
          <w:u w:val="none"/>
        </w:rPr>
      </w:pPr>
      <w:hyperlink w:anchor="_Chapter_Three:_Production" w:history="1">
        <w:r w:rsidRPr="00C25507">
          <w:rPr>
            <w:rStyle w:val="Hyperlink"/>
          </w:rPr>
          <w:t>Chapter Three: C</w:t>
        </w:r>
        <w:r w:rsidRPr="00C25507">
          <w:rPr>
            <w:rStyle w:val="Hyperlink"/>
          </w:rPr>
          <w:t>a</w:t>
        </w:r>
        <w:r w:rsidRPr="00C25507">
          <w:rPr>
            <w:rStyle w:val="Hyperlink"/>
          </w:rPr>
          <w:t>lib</w:t>
        </w:r>
        <w:r w:rsidRPr="00C25507">
          <w:rPr>
            <w:rStyle w:val="Hyperlink"/>
          </w:rPr>
          <w:t>r</w:t>
        </w:r>
        <w:r w:rsidRPr="00C25507">
          <w:rPr>
            <w:rStyle w:val="Hyperlink"/>
          </w:rPr>
          <w:t>ation</w:t>
        </w:r>
      </w:hyperlink>
    </w:p>
    <w:p w14:paraId="6388C32C" w14:textId="600A4B52" w:rsidR="005B4DC6" w:rsidRPr="00BA4591" w:rsidRDefault="0004076D" w:rsidP="00C86ADD">
      <w:pPr>
        <w:pStyle w:val="ListParagraph"/>
        <w:numPr>
          <w:ilvl w:val="0"/>
          <w:numId w:val="7"/>
        </w:numPr>
        <w:spacing w:after="200" w:line="360" w:lineRule="auto"/>
        <w:rPr>
          <w:rStyle w:val="Hyperlink"/>
          <w:color w:val="auto"/>
          <w:u w:val="none"/>
        </w:rPr>
      </w:pPr>
      <w:hyperlink w:anchor="_Giving_constructive_feedback" w:history="1">
        <w:r w:rsidRPr="00C25507">
          <w:rPr>
            <w:rStyle w:val="Hyperlink"/>
          </w:rPr>
          <w:t>Chapter Four: Camera colour</w:t>
        </w:r>
        <w:r w:rsidRPr="00C25507">
          <w:rPr>
            <w:rStyle w:val="Hyperlink"/>
          </w:rPr>
          <w:t xml:space="preserve"> </w:t>
        </w:r>
        <w:r w:rsidRPr="00C25507">
          <w:rPr>
            <w:rStyle w:val="Hyperlink"/>
          </w:rPr>
          <w:t>spaces</w:t>
        </w:r>
      </w:hyperlink>
    </w:p>
    <w:p w14:paraId="6455C7CF" w14:textId="61A51D48" w:rsidR="00C25507" w:rsidRDefault="00442E62" w:rsidP="00C25507">
      <w:pPr>
        <w:pStyle w:val="ListParagraph"/>
        <w:numPr>
          <w:ilvl w:val="0"/>
          <w:numId w:val="7"/>
        </w:numPr>
        <w:spacing w:after="200" w:line="360" w:lineRule="auto"/>
      </w:pPr>
      <w:hyperlink w:anchor="_Chapter_Five:_Post" w:history="1">
        <w:r w:rsidRPr="00C25507">
          <w:rPr>
            <w:rStyle w:val="Hyperlink"/>
          </w:rPr>
          <w:t xml:space="preserve">Chapter Five: </w:t>
        </w:r>
        <w:r w:rsidR="00C25507" w:rsidRPr="00C25507">
          <w:rPr>
            <w:rStyle w:val="Hyperlink"/>
          </w:rPr>
          <w:t>Colour m</w:t>
        </w:r>
        <w:r w:rsidR="00C25507" w:rsidRPr="00C25507">
          <w:rPr>
            <w:rStyle w:val="Hyperlink"/>
          </w:rPr>
          <w:t>a</w:t>
        </w:r>
        <w:r w:rsidR="00C25507" w:rsidRPr="00C25507">
          <w:rPr>
            <w:rStyle w:val="Hyperlink"/>
          </w:rPr>
          <w:t>nagement and grading with scene referred images</w:t>
        </w:r>
      </w:hyperlink>
    </w:p>
    <w:p w14:paraId="6B3847C9" w14:textId="7584F403" w:rsidR="00B161A1" w:rsidRPr="005206DD" w:rsidRDefault="00442E62" w:rsidP="005206DD">
      <w:pPr>
        <w:pStyle w:val="ListParagraph"/>
        <w:numPr>
          <w:ilvl w:val="0"/>
          <w:numId w:val="7"/>
        </w:numPr>
        <w:spacing w:after="200" w:line="360" w:lineRule="auto"/>
        <w:rPr>
          <w:rStyle w:val="Hyperlink"/>
          <w:color w:val="auto"/>
          <w:u w:val="none"/>
        </w:rPr>
      </w:pPr>
      <w:r>
        <w:fldChar w:fldCharType="begin"/>
      </w:r>
      <w:r w:rsidR="005206DD">
        <w:instrText>HYPERLINK  \l "_Chapter_Six:_Conclusions"</w:instrText>
      </w:r>
      <w:r>
        <w:fldChar w:fldCharType="separate"/>
      </w:r>
      <w:r w:rsidR="00B161A1" w:rsidRPr="00442E62">
        <w:rPr>
          <w:rStyle w:val="Hyperlink"/>
        </w:rPr>
        <w:t>C</w:t>
      </w:r>
      <w:r>
        <w:rPr>
          <w:rStyle w:val="Hyperlink"/>
        </w:rPr>
        <w:t>hapter Six: Conclusio</w:t>
      </w:r>
      <w:r>
        <w:rPr>
          <w:rStyle w:val="Hyperlink"/>
        </w:rPr>
        <w:t>n</w:t>
      </w:r>
      <w:r>
        <w:rPr>
          <w:rStyle w:val="Hyperlink"/>
        </w:rPr>
        <w:t>s</w:t>
      </w:r>
    </w:p>
    <w:bookmarkStart w:id="1" w:name="_Introduction"/>
    <w:bookmarkEnd w:id="1"/>
    <w:p w14:paraId="3CB4B00E" w14:textId="21B659A9" w:rsidR="00C55A49" w:rsidRDefault="00442E62" w:rsidP="00C55A49">
      <w:pPr>
        <w:pStyle w:val="Heading1"/>
      </w:pPr>
      <w:r>
        <w:rPr>
          <w:rFonts w:asciiTheme="minorHAnsi" w:eastAsiaTheme="minorHAnsi" w:hAnsiTheme="minorHAnsi" w:cstheme="minorBidi"/>
          <w:color w:val="auto"/>
          <w:sz w:val="24"/>
          <w:szCs w:val="24"/>
        </w:rPr>
        <w:fldChar w:fldCharType="end"/>
      </w:r>
      <w:r w:rsidR="001A3ADF">
        <w:t>Introduction</w:t>
      </w:r>
    </w:p>
    <w:p w14:paraId="49F5C07A" w14:textId="461542E5" w:rsidR="00A77964" w:rsidRDefault="00A77964" w:rsidP="000E3EB1">
      <w:pPr>
        <w:spacing w:after="240" w:line="360" w:lineRule="auto"/>
      </w:pPr>
      <w:r w:rsidRPr="00A77964">
        <w:t>In this module, we will focus on how we represent colours in a digital world with colour spaces. This is a very broad topic, so we will cover enough detail to help your understanding.</w:t>
      </w:r>
      <w:r w:rsidR="000E3EB1">
        <w:t xml:space="preserve"> </w:t>
      </w:r>
    </w:p>
    <w:p w14:paraId="717EFB44" w14:textId="03AE8990" w:rsidR="000E3EB1" w:rsidRPr="00A77964" w:rsidRDefault="000E3EB1" w:rsidP="00C60EDD">
      <w:pPr>
        <w:spacing w:line="360" w:lineRule="auto"/>
      </w:pPr>
      <w:r w:rsidRPr="000E3EB1">
        <w:t>We will cover colour spaces over the course of two sessions. In the first part, we will discuss the way colours are represented on different displays and how digital cinema cameras deal with colour. In the second part, we will go in-depth on dynamic range and the difference between SDR and HDR displays.</w:t>
      </w:r>
    </w:p>
    <w:p w14:paraId="6B60B24A" w14:textId="28686C35" w:rsidR="00391819" w:rsidRDefault="00BD7E9A" w:rsidP="002001D8">
      <w:pPr>
        <w:pStyle w:val="Heading1"/>
      </w:pPr>
      <w:bookmarkStart w:id="2" w:name="_Chapter_One:_What"/>
      <w:bookmarkEnd w:id="2"/>
      <w:r w:rsidRPr="00BD7E9A">
        <w:rPr>
          <w:b/>
          <w:bCs/>
        </w:rPr>
        <w:t xml:space="preserve">Chapter One: </w:t>
      </w:r>
      <w:r w:rsidR="005038D3" w:rsidRPr="005038D3">
        <w:t>What is a colour space and why should we care?</w:t>
      </w:r>
    </w:p>
    <w:p w14:paraId="7AAC4261" w14:textId="4F8D2CBF" w:rsidR="000930BC" w:rsidRPr="000930BC" w:rsidRDefault="000930BC" w:rsidP="000930BC">
      <w:pPr>
        <w:spacing w:after="240" w:line="360" w:lineRule="auto"/>
      </w:pPr>
      <w:r w:rsidRPr="000930BC">
        <w:t xml:space="preserve">With content being consumed in </w:t>
      </w:r>
      <w:proofErr w:type="gramStart"/>
      <w:r w:rsidRPr="000930BC">
        <w:t>various different</w:t>
      </w:r>
      <w:proofErr w:type="gramEnd"/>
      <w:r w:rsidRPr="000930BC">
        <w:t xml:space="preserve"> ways today, it is not uncommon to have to prepare your production for delivery to different exhibition formats. On high-end productions, we may need to deliver versions for cinema, streaming and linear TV broadcast. </w:t>
      </w:r>
    </w:p>
    <w:p w14:paraId="4960F9EA" w14:textId="3D7B7415" w:rsidR="005038D3" w:rsidRDefault="000930BC" w:rsidP="002C4F78">
      <w:pPr>
        <w:spacing w:after="240" w:line="360" w:lineRule="auto"/>
      </w:pPr>
      <w:r w:rsidRPr="000930BC">
        <w:t xml:space="preserve">And besides the fact that viewers might consume these versions in different environments, ranging from a blacked-out cinema to the living room to watching on a phone on the train, </w:t>
      </w:r>
      <w:r w:rsidRPr="000930BC">
        <w:lastRenderedPageBreak/>
        <w:t>there is one other important difference that we need to be aware of when preparing a production for all these different formats.</w:t>
      </w:r>
    </w:p>
    <w:p w14:paraId="69B825B7" w14:textId="70033003" w:rsidR="002C4F78" w:rsidRDefault="002C4F78" w:rsidP="0075549A">
      <w:pPr>
        <w:spacing w:after="240" w:line="360" w:lineRule="auto"/>
      </w:pPr>
      <w:r w:rsidRPr="002C4F78">
        <w:t>Different display types make use of different colour spaces. At its core, a colour space defines for a certain type of display which colours and which contrast range between black and white it should be able to show. It’s a way to translate digital values to colourful images consistently.</w:t>
      </w:r>
    </w:p>
    <w:p w14:paraId="229D8160" w14:textId="501718A9" w:rsidR="0075549A" w:rsidRDefault="0075549A" w:rsidP="00697DC3">
      <w:pPr>
        <w:spacing w:after="240" w:line="360" w:lineRule="auto"/>
      </w:pPr>
      <w:r w:rsidRPr="0075549A">
        <w:t>The decision on what colours and contrast range a display should be capable of isn’t just up to the display manufacturers; this is something that we’ve agreed upon within international standards bodies, to ensure that colours will look roughly the same on every monitor and therefore our content will look similar across all devices.</w:t>
      </w:r>
    </w:p>
    <w:p w14:paraId="07B63FE8" w14:textId="5BD0AD65" w:rsidR="00697DC3" w:rsidRPr="005038D3" w:rsidRDefault="00697DC3" w:rsidP="000930BC">
      <w:pPr>
        <w:spacing w:line="360" w:lineRule="auto"/>
      </w:pPr>
      <w:r w:rsidRPr="00697DC3">
        <w:t>Why do we need to be aware of this while preparing our production? Because we will need to deliver different versions of our film, series or content to look correct on different displays. This means that our deliverables need to be encoded in the same colour space that’s used by the display type it is meant to be shown on. And as some of those display types can show considerably more colours and contrast range than others, this does not just have technical but also creative implications.</w:t>
      </w:r>
    </w:p>
    <w:p w14:paraId="25252168" w14:textId="154AD635" w:rsidR="00554B7D" w:rsidRDefault="00BD7E9A" w:rsidP="00C205B0">
      <w:pPr>
        <w:pStyle w:val="Heading1"/>
      </w:pPr>
      <w:bookmarkStart w:id="3" w:name="_Managing_conflict"/>
      <w:bookmarkStart w:id="4" w:name="_Chapter_Two:_"/>
      <w:bookmarkStart w:id="5" w:name="_Chapter_Two:_Development"/>
      <w:bookmarkStart w:id="6" w:name="_Chapter_Two:_Different"/>
      <w:bookmarkEnd w:id="3"/>
      <w:bookmarkEnd w:id="4"/>
      <w:bookmarkEnd w:id="5"/>
      <w:bookmarkEnd w:id="6"/>
      <w:r w:rsidRPr="00BD7E9A">
        <w:rPr>
          <w:b/>
          <w:bCs/>
        </w:rPr>
        <w:t xml:space="preserve">Chapter Two: </w:t>
      </w:r>
      <w:r w:rsidR="00697DC3">
        <w:t>Different display colour spaces</w:t>
      </w:r>
    </w:p>
    <w:p w14:paraId="4BCBD9AB" w14:textId="4A5296A7" w:rsidR="00B50FEA" w:rsidRPr="00B50FEA" w:rsidRDefault="00B50FEA" w:rsidP="00B50FEA">
      <w:pPr>
        <w:spacing w:after="240" w:line="360" w:lineRule="auto"/>
      </w:pPr>
      <w:r w:rsidRPr="00B50FEA">
        <w:t>Nowadays, we mostly make use of three different colour spaces for three different types of consumption: broadcast, theatrical, and video-on-demand.</w:t>
      </w:r>
    </w:p>
    <w:p w14:paraId="666A5481" w14:textId="77777777" w:rsidR="00B50FEA" w:rsidRDefault="00B50FEA" w:rsidP="00487483">
      <w:pPr>
        <w:spacing w:after="240" w:line="360" w:lineRule="auto"/>
      </w:pPr>
      <w:r w:rsidRPr="00B50FEA">
        <w:t xml:space="preserve">Colour spaces are often mapped out onto a CIE Chromaticity chart, which depicts all the different colours the human eye can see; this is known as the visible spectrum. </w:t>
      </w:r>
    </w:p>
    <w:p w14:paraId="50A3B098" w14:textId="2B5566C3" w:rsidR="00487483" w:rsidRDefault="00487483" w:rsidP="00B50FEA">
      <w:pPr>
        <w:spacing w:line="360" w:lineRule="auto"/>
      </w:pPr>
      <w:r w:rsidRPr="00487483">
        <w:t>The centre of the chart shows shades which are very close to white, and the further outwards we move from the centre, the more colourful the colours become. We refer to more vibrant colours as being more saturated, while more pastel colours are less saturated. The hue is the direction you go from the centre of the chart, for example,</w:t>
      </w:r>
      <w:r w:rsidR="00FD42B6">
        <w:t xml:space="preserve"> </w:t>
      </w:r>
      <w:r w:rsidR="00FD42B6" w:rsidRPr="00FD42B6">
        <w:t>more towards the red or more towards the green. In other words, the hue defines which colour we are talking about, and the saturation defines how vibrant that colour is.</w:t>
      </w:r>
    </w:p>
    <w:p w14:paraId="0D390747" w14:textId="77777777" w:rsidR="00F473BB" w:rsidRDefault="00F473BB" w:rsidP="00C21D28">
      <w:pPr>
        <w:spacing w:after="240" w:line="360" w:lineRule="auto"/>
      </w:pPr>
      <w:r w:rsidRPr="00F473BB">
        <w:lastRenderedPageBreak/>
        <w:t xml:space="preserve">The colour space that is used for broadcast </w:t>
      </w:r>
      <w:proofErr w:type="spellStart"/>
      <w:r w:rsidRPr="00F473BB">
        <w:t>HDtv</w:t>
      </w:r>
      <w:proofErr w:type="spellEnd"/>
      <w:r w:rsidRPr="00F473BB">
        <w:t xml:space="preserve"> and a lot of computer displays is called Rec. 709. This colour space can cover a decent chunk of the visible spectrum, but it lacks deeper greens and blues, making it hard to realistically show all the colours that can be found in nature. Besides the colours that can be covered, the contrast range is another part of what defines a colour space. </w:t>
      </w:r>
    </w:p>
    <w:p w14:paraId="4696BC5A" w14:textId="77777777" w:rsidR="00C21D28" w:rsidRDefault="00C21D28" w:rsidP="003400C4">
      <w:pPr>
        <w:spacing w:after="240" w:line="360" w:lineRule="auto"/>
      </w:pPr>
      <w:r w:rsidRPr="00C21D28">
        <w:t xml:space="preserve">The contrast range is the difference between the darkest and brightest pixels that can be shown. The contrast range of Rec. 709 displays is limited and considerably less than the amount of contrast our eyes would be able to see in the outside world. </w:t>
      </w:r>
    </w:p>
    <w:p w14:paraId="60C53943" w14:textId="406F612B" w:rsidR="002525B5" w:rsidRPr="002525B5" w:rsidRDefault="003400C4" w:rsidP="002525B5">
      <w:pPr>
        <w:spacing w:line="360" w:lineRule="auto"/>
      </w:pPr>
      <w:r w:rsidRPr="003400C4">
        <w:t>Our second commonly used colour space is called DCI-P3 and was developed when we moved from film to digital cinema projection. The DCI-P3 colour space covers a larger</w:t>
      </w:r>
      <w:r w:rsidR="002525B5">
        <w:t xml:space="preserve"> </w:t>
      </w:r>
      <w:r w:rsidR="002525B5" w:rsidRPr="002525B5">
        <w:t>part of the visible spectrum, so the additional colours that are provided make it much easier to create lifelike images.</w:t>
      </w:r>
    </w:p>
    <w:p w14:paraId="09329BCE" w14:textId="77777777" w:rsidR="002525B5" w:rsidRPr="002525B5" w:rsidRDefault="002525B5" w:rsidP="002525B5">
      <w:pPr>
        <w:spacing w:line="360" w:lineRule="auto"/>
      </w:pPr>
    </w:p>
    <w:p w14:paraId="506D398A" w14:textId="758FE6DA" w:rsidR="002525B5" w:rsidRDefault="002525B5" w:rsidP="00EB2E0D">
      <w:pPr>
        <w:spacing w:after="240" w:line="360" w:lineRule="auto"/>
      </w:pPr>
      <w:r w:rsidRPr="002525B5">
        <w:t>In terms of contrast range, the two standards are similar in their capabilities, but encoded in a very different way. This means that if a DCI-P3 encoded image is displayed on a Rec. 709 display, it would look too high contrast. It would be the same the other way around, a Rec. 709 image would look washed out when shown on a DCI-P3 projector.</w:t>
      </w:r>
    </w:p>
    <w:p w14:paraId="0BCD1636" w14:textId="6757CED9" w:rsidR="00B63EC7" w:rsidRPr="00B63EC7" w:rsidRDefault="00EB2E0D" w:rsidP="00B63EC7">
      <w:pPr>
        <w:spacing w:after="240" w:line="360" w:lineRule="auto"/>
      </w:pPr>
      <w:r w:rsidRPr="00EB2E0D">
        <w:t xml:space="preserve">The third and final colour space worth mentioning here is called Rec. 2020, which is commonly used for HDR content and displays. The Rec. 2020 standard encompasses an enormous </w:t>
      </w:r>
      <w:proofErr w:type="gramStart"/>
      <w:r w:rsidRPr="00EB2E0D">
        <w:t>amount</w:t>
      </w:r>
      <w:proofErr w:type="gramEnd"/>
      <w:r w:rsidRPr="00EB2E0D">
        <w:t xml:space="preserve"> of different colours, even a lot of colours that don’t naturally exist but are only found in colourful neon or laser lights, for example. This standard was developed without any display in the world being capable of </w:t>
      </w:r>
      <w:proofErr w:type="gramStart"/>
      <w:r w:rsidRPr="00EB2E0D">
        <w:t>actually showing</w:t>
      </w:r>
      <w:proofErr w:type="gramEnd"/>
      <w:r w:rsidRPr="00EB2E0D">
        <w:t xml:space="preserve"> all these colours, and it is still mostly an aspirational target. Nonetheless, most HDR displays will follow the Rec. 2020 standard and will show as many colours as possible. When Rec. 2020 is used for HDR content, it is coupled with a contrast range that far surpasses those of the Rec. 709 and DCI-P3 standards. This means that we can create images that</w:t>
      </w:r>
      <w:r w:rsidR="00B63EC7">
        <w:t xml:space="preserve"> </w:t>
      </w:r>
      <w:r w:rsidR="00B63EC7" w:rsidRPr="00B63EC7">
        <w:t xml:space="preserve">are a lot closer to what we can see in the outside world both in terms of colours as well as the contrast range. </w:t>
      </w:r>
    </w:p>
    <w:p w14:paraId="630EE572" w14:textId="55D9C173" w:rsidR="00EB2E0D" w:rsidRDefault="00B63EC7" w:rsidP="00B63EC7">
      <w:pPr>
        <w:spacing w:line="360" w:lineRule="auto"/>
      </w:pPr>
      <w:r w:rsidRPr="00B63EC7">
        <w:t>We will elaborate on the topic of High Dynamic Range in the second part of this series on Colour Spaces.</w:t>
      </w:r>
    </w:p>
    <w:p w14:paraId="7FF625E9" w14:textId="73923F22" w:rsidR="00B50FEA" w:rsidRPr="00B50FEA" w:rsidRDefault="0089687E" w:rsidP="00C808AD">
      <w:pPr>
        <w:spacing w:line="360" w:lineRule="auto"/>
      </w:pPr>
      <w:r w:rsidRPr="0089687E">
        <w:lastRenderedPageBreak/>
        <w:t xml:space="preserve">If we have these three different standards in mind, it is understandable that when we deliver a Rec. 2020 HDR version of our production first and then </w:t>
      </w:r>
      <w:proofErr w:type="gramStart"/>
      <w:r w:rsidRPr="0089687E">
        <w:t>have to</w:t>
      </w:r>
      <w:proofErr w:type="gramEnd"/>
      <w:r w:rsidRPr="0089687E">
        <w:t xml:space="preserve"> also deliver a</w:t>
      </w:r>
      <w:r w:rsidR="00C808AD">
        <w:t xml:space="preserve"> </w:t>
      </w:r>
      <w:r w:rsidR="00C808AD" w:rsidRPr="00C808AD">
        <w:t>Rec. 709 version for TV, that this is not a straightforward conversion from one to the other. We will be throwing out a major part of the contrast range and available colours. Doing that is a creative process, as deciding on the right way to paint the same picture with fewer colours is not something that is purely driven by maths or technology. How we deal with this will be covered in the chapter on colour management and grading with scene-referred images.</w:t>
      </w:r>
    </w:p>
    <w:p w14:paraId="17EE7470" w14:textId="0A7ED536" w:rsidR="006B1486" w:rsidRDefault="00442E62" w:rsidP="0048317D">
      <w:pPr>
        <w:pStyle w:val="Heading1"/>
      </w:pPr>
      <w:bookmarkStart w:id="7" w:name="_Chapter_Three:_Production"/>
      <w:bookmarkEnd w:id="7"/>
      <w:r w:rsidRPr="00442E62">
        <w:rPr>
          <w:b/>
          <w:bCs/>
        </w:rPr>
        <w:t>Chapter Three:</w:t>
      </w:r>
      <w:r>
        <w:rPr>
          <w:b/>
          <w:bCs/>
        </w:rPr>
        <w:t xml:space="preserve"> </w:t>
      </w:r>
      <w:r w:rsidR="00C808AD">
        <w:t>Calibration</w:t>
      </w:r>
    </w:p>
    <w:p w14:paraId="741EC4BD" w14:textId="77777777" w:rsidR="00CF6196" w:rsidRDefault="008142D7" w:rsidP="00CF6196">
      <w:pPr>
        <w:spacing w:after="240" w:line="360" w:lineRule="auto"/>
      </w:pPr>
      <w:r w:rsidRPr="008142D7">
        <w:t xml:space="preserve">Every display will need to be fine-tuned to follow the agreed-upon colour standards as closely as possible. This fine-tuning can be as simple as altering the brightness, contrast and colour controls on your TV at home to your own liking. But if you want to be sure that a display gives an exact representation of the image, you will need to calibrate it. During the calibration process, a monitor is measured and adjusted to match the specifications as closely as possible, ensuring accurate viewing during </w:t>
      </w:r>
      <w:proofErr w:type="gramStart"/>
      <w:r w:rsidRPr="008142D7">
        <w:t>post production</w:t>
      </w:r>
      <w:proofErr w:type="gramEnd"/>
      <w:r w:rsidRPr="008142D7">
        <w:t>.</w:t>
      </w:r>
    </w:p>
    <w:p w14:paraId="5E787817" w14:textId="26BE786D" w:rsidR="008142D7" w:rsidRDefault="00CF6196" w:rsidP="00610060">
      <w:pPr>
        <w:spacing w:after="240" w:line="360" w:lineRule="auto"/>
      </w:pPr>
      <w:r>
        <w:t xml:space="preserve"> </w:t>
      </w:r>
      <w:r w:rsidRPr="00CF6196">
        <w:t>In a good colour grading room, we will find a reference display that is fully calibrated to one or multiple standards. The colour grading should always be done on such a reference display, as that is the only source of truth before a production leaves the post facility and goes out into the wild.</w:t>
      </w:r>
    </w:p>
    <w:p w14:paraId="67891C2D" w14:textId="36CE92A4" w:rsidR="00610060" w:rsidRPr="008142D7" w:rsidRDefault="00610060" w:rsidP="008142D7">
      <w:pPr>
        <w:spacing w:line="360" w:lineRule="auto"/>
      </w:pPr>
      <w:r w:rsidRPr="00610060">
        <w:t xml:space="preserve">Typical cinemas will be calibrated too, although not as often as a reference display. </w:t>
      </w:r>
      <w:proofErr w:type="gramStart"/>
      <w:r w:rsidRPr="00610060">
        <w:t>Also</w:t>
      </w:r>
      <w:proofErr w:type="gramEnd"/>
      <w:r w:rsidRPr="00610060">
        <w:t xml:space="preserve"> here this is done to ensure that the cinema will show images as close as possible to what they looked like in the grading room. Obviously, with consumer TV-sets it’s a bit more of a Wild West situation, where display manufacturers would typically set the default of a TV-set to be as bright and colourful as possible, often surpassing the colours and contrast defined in a standard. However, most TV sets have at least a cinema, pro or filmmaker mode that you can set it to </w:t>
      </w:r>
      <w:proofErr w:type="spellStart"/>
      <w:r w:rsidRPr="00610060">
        <w:t>to</w:t>
      </w:r>
      <w:proofErr w:type="spellEnd"/>
      <w:r w:rsidRPr="00610060">
        <w:t xml:space="preserve"> get a closer match to the grading room.</w:t>
      </w:r>
    </w:p>
    <w:p w14:paraId="79A4081B" w14:textId="0F6BA97F" w:rsidR="005B4DC6" w:rsidRDefault="00442E62" w:rsidP="005B4DC6">
      <w:pPr>
        <w:pStyle w:val="Heading1"/>
      </w:pPr>
      <w:bookmarkStart w:id="8" w:name="_Giving_constructive_feedback"/>
      <w:bookmarkStart w:id="9" w:name="_Chapter_Four:_Post-production:"/>
      <w:bookmarkEnd w:id="8"/>
      <w:bookmarkEnd w:id="9"/>
      <w:r w:rsidRPr="00442E62">
        <w:rPr>
          <w:b/>
          <w:bCs/>
        </w:rPr>
        <w:t xml:space="preserve">Chapter Four: </w:t>
      </w:r>
      <w:r w:rsidR="00610060">
        <w:t>Camera colour spaces</w:t>
      </w:r>
    </w:p>
    <w:p w14:paraId="1895DD9A" w14:textId="38348D23" w:rsidR="00610060" w:rsidRDefault="00A54E15" w:rsidP="007A083D">
      <w:pPr>
        <w:spacing w:after="240" w:line="360" w:lineRule="auto"/>
      </w:pPr>
      <w:r w:rsidRPr="00A54E15">
        <w:t xml:space="preserve">As with our different display types, cameras will also record images in a specific colour space, which is often a proprietary colour space created by the camera manufacturer. In </w:t>
      </w:r>
      <w:r w:rsidRPr="00A54E15">
        <w:lastRenderedPageBreak/>
        <w:t xml:space="preserve">some cases, you would be able to record straight to one of the display standards, but the downside of that is that you would then limit yourself to the </w:t>
      </w:r>
      <w:proofErr w:type="gramStart"/>
      <w:r w:rsidRPr="00A54E15">
        <w:t>amount</w:t>
      </w:r>
      <w:proofErr w:type="gramEnd"/>
      <w:r w:rsidRPr="00A54E15">
        <w:t xml:space="preserve"> of colours and contrast range of that display technology.</w:t>
      </w:r>
    </w:p>
    <w:p w14:paraId="51C33D99" w14:textId="2E3CCE30" w:rsidR="007A083D" w:rsidRPr="007A083D" w:rsidRDefault="007A083D" w:rsidP="007A083D">
      <w:pPr>
        <w:spacing w:after="240" w:line="360" w:lineRule="auto"/>
      </w:pPr>
      <w:r w:rsidRPr="007A083D">
        <w:t xml:space="preserve">The proprietary colour spaces of cameras on the other hand </w:t>
      </w:r>
      <w:proofErr w:type="gramStart"/>
      <w:r w:rsidRPr="007A083D">
        <w:t>are capable of recording</w:t>
      </w:r>
      <w:proofErr w:type="gramEnd"/>
      <w:r w:rsidRPr="007A083D">
        <w:t xml:space="preserve"> even larger amounts of colours and contrast range, giving far more flexibility in post to decide on what you would like to see and how. These would typically follow logarithmic encoding, which you can identify by the name that the manufacturers give to their colour spaces, like ARRI LogC4 or Sony S-Log3 for example.</w:t>
      </w:r>
    </w:p>
    <w:p w14:paraId="4A1EED59" w14:textId="77777777" w:rsidR="007A083D" w:rsidRDefault="007A083D" w:rsidP="00B16C24">
      <w:pPr>
        <w:spacing w:after="240" w:line="360" w:lineRule="auto"/>
      </w:pPr>
      <w:r w:rsidRPr="007A083D">
        <w:t xml:space="preserve">We won’t get into the maths of log encoding here. What matters is that these colour spaces aren’t designed to be viewed as they are. </w:t>
      </w:r>
      <w:proofErr w:type="gramStart"/>
      <w:r w:rsidRPr="007A083D">
        <w:t>So</w:t>
      </w:r>
      <w:proofErr w:type="gramEnd"/>
      <w:r w:rsidRPr="007A083D">
        <w:t xml:space="preserve"> if you play Log camera footage on a normal Rec 709 monitor, it will look flat, washed out and less colourful than you expect. That’s just because there is a mismatch between the colour space the file was encoded in and the colour space that the display is set to and expects to receive as images.</w:t>
      </w:r>
    </w:p>
    <w:p w14:paraId="718969B6" w14:textId="472D3E07" w:rsidR="007A083D" w:rsidRPr="00610060" w:rsidRDefault="00B16C24" w:rsidP="00A54E15">
      <w:pPr>
        <w:spacing w:line="360" w:lineRule="auto"/>
      </w:pPr>
      <w:r w:rsidRPr="00B16C24">
        <w:t>These colour spaces efficiently and effectively store as much information as possible from the camera sensor. We call them ‘scene-referred colour spaces’ to distinguish them from the ‘display-referred colour spaces’ that ARE meant to be fit for consumption on a display.</w:t>
      </w:r>
    </w:p>
    <w:p w14:paraId="0354DFBC" w14:textId="31117290" w:rsidR="00BA4591" w:rsidRDefault="00442E62" w:rsidP="00BA4591">
      <w:pPr>
        <w:pStyle w:val="Heading1"/>
      </w:pPr>
      <w:bookmarkStart w:id="10" w:name="_Chapter_Five:_Post"/>
      <w:bookmarkEnd w:id="10"/>
      <w:r w:rsidRPr="00442E62">
        <w:rPr>
          <w:b/>
          <w:bCs/>
        </w:rPr>
        <w:t xml:space="preserve">Chapter Five: </w:t>
      </w:r>
      <w:r w:rsidR="00B058C8" w:rsidRPr="00B058C8">
        <w:t>Colour management and grading with scene referred images</w:t>
      </w:r>
    </w:p>
    <w:p w14:paraId="56950F8D" w14:textId="70026DB4" w:rsidR="00F95B43" w:rsidRDefault="00EE0E1E" w:rsidP="00A410C9">
      <w:pPr>
        <w:spacing w:after="240" w:line="360" w:lineRule="auto"/>
      </w:pPr>
      <w:r w:rsidRPr="00EE0E1E">
        <w:t>During the colour grading process, we will monitor the image on a reference display that was calibrated to the colour space standard that is specified in the delivery specifications. While looking at that display, we will make decisions on how to make use of all the information that the camera recorded within the limited capabilities of our display.</w:t>
      </w:r>
      <w:r w:rsidR="00066FB3">
        <w:t xml:space="preserve"> </w:t>
      </w:r>
    </w:p>
    <w:p w14:paraId="17B898B7" w14:textId="7B1C878F" w:rsidR="00787088" w:rsidRDefault="00787088" w:rsidP="0075486F">
      <w:pPr>
        <w:spacing w:after="240" w:line="360" w:lineRule="auto"/>
      </w:pPr>
      <w:r>
        <w:t xml:space="preserve">We could do this by just starting to look at the Log encoded images in their washed-out state and colour correcting them until they looking aesthetically pleasing. </w:t>
      </w:r>
      <w:r w:rsidR="00074EF1" w:rsidRPr="00074EF1">
        <w:t>But in doing so, we are only making images of one specific camera type</w:t>
      </w:r>
      <w:r w:rsidR="00074EF1">
        <w:t xml:space="preserve"> look</w:t>
      </w:r>
      <w:r w:rsidR="00AB01FD">
        <w:t xml:space="preserve"> </w:t>
      </w:r>
      <w:r w:rsidR="00AB01FD" w:rsidRPr="00AB01FD">
        <w:t>nice on one specific display type. This is not the most efficient way to approach the grading.</w:t>
      </w:r>
    </w:p>
    <w:p w14:paraId="03B2218A" w14:textId="013845D7" w:rsidR="0075486F" w:rsidRDefault="0075486F" w:rsidP="00942DB3">
      <w:pPr>
        <w:spacing w:after="240" w:line="360" w:lineRule="auto"/>
      </w:pPr>
      <w:r w:rsidRPr="0075486F">
        <w:t xml:space="preserve">After all, almost every production will make use of </w:t>
      </w:r>
      <w:proofErr w:type="gramStart"/>
      <w:r w:rsidRPr="0075486F">
        <w:t>various different</w:t>
      </w:r>
      <w:proofErr w:type="gramEnd"/>
      <w:r w:rsidRPr="0075486F">
        <w:t xml:space="preserve"> cameras, each with their own proprietary colour space and we </w:t>
      </w:r>
      <w:proofErr w:type="gramStart"/>
      <w:r w:rsidRPr="0075486F">
        <w:t>have to</w:t>
      </w:r>
      <w:proofErr w:type="gramEnd"/>
      <w:r w:rsidRPr="0075486F">
        <w:t xml:space="preserve"> deliver to different exhibition formats </w:t>
      </w:r>
      <w:r w:rsidRPr="0075486F">
        <w:lastRenderedPageBreak/>
        <w:t xml:space="preserve">with their respective colour spaces. We want to avoid having to deal with all the different sources in different ways as well as having to redo the colour grading for different delivery standards. This can be done by making use of a colour management framework, which essentially consists of a collection of mathematical transformations that make the different inputs and outputs behave and look similar. This process happens in the background of our grading </w:t>
      </w:r>
      <w:proofErr w:type="gramStart"/>
      <w:r w:rsidRPr="0075486F">
        <w:t>software, but</w:t>
      </w:r>
      <w:proofErr w:type="gramEnd"/>
      <w:r w:rsidRPr="0075486F">
        <w:t xml:space="preserve"> needs to be activated by the Colourist or </w:t>
      </w:r>
      <w:proofErr w:type="gramStart"/>
      <w:r w:rsidRPr="0075486F">
        <w:t>Post Production</w:t>
      </w:r>
      <w:proofErr w:type="gramEnd"/>
      <w:r w:rsidRPr="0075486F">
        <w:t xml:space="preserve"> Vendor.</w:t>
      </w:r>
    </w:p>
    <w:p w14:paraId="2B017DDE" w14:textId="7875D406" w:rsidR="00942DB3" w:rsidRDefault="00942DB3" w:rsidP="00AF0863">
      <w:pPr>
        <w:spacing w:after="240" w:line="360" w:lineRule="auto"/>
      </w:pPr>
      <w:r>
        <w:t xml:space="preserve">That isn’t to say that all cameras will magically look the same, </w:t>
      </w:r>
      <w:r w:rsidRPr="00942DB3">
        <w:t>nor is it a way to remove the need for some manual corrections in the grade for different display types, but it does drastically reduce the amount of manual labour that is needed when no colour management is in place.</w:t>
      </w:r>
    </w:p>
    <w:p w14:paraId="38560A58" w14:textId="4722F1CA" w:rsidR="00AF0863" w:rsidRDefault="00AF0863" w:rsidP="004F04B6">
      <w:pPr>
        <w:spacing w:after="240" w:line="360" w:lineRule="auto"/>
      </w:pPr>
      <w:r w:rsidRPr="00AF0863">
        <w:t xml:space="preserve">One of those colour management frameworks, and probably the most </w:t>
      </w:r>
      <w:proofErr w:type="spellStart"/>
      <w:r w:rsidRPr="00AF0863">
        <w:t>well known</w:t>
      </w:r>
      <w:proofErr w:type="spellEnd"/>
      <w:r w:rsidRPr="00AF0863">
        <w:t xml:space="preserve"> one, is called ACES, short for Academy </w:t>
      </w:r>
      <w:proofErr w:type="spellStart"/>
      <w:r w:rsidRPr="00AF0863">
        <w:t>Color</w:t>
      </w:r>
      <w:proofErr w:type="spellEnd"/>
      <w:r w:rsidRPr="00AF0863">
        <w:t xml:space="preserve"> Encoding System. ACES provides a set of documented transforms between colour spaces, is implemented in almost all professional video processing software and it is an open-source initiative, run by a lot of great minds in the industry. ACES is used quite commonly in various types of productions.</w:t>
      </w:r>
    </w:p>
    <w:p w14:paraId="7660AF78" w14:textId="79BB8493" w:rsidR="005D0555" w:rsidRPr="00F95B43" w:rsidRDefault="004F04B6" w:rsidP="00EE0E1E">
      <w:pPr>
        <w:spacing w:line="360" w:lineRule="auto"/>
      </w:pPr>
      <w:r w:rsidRPr="004F04B6">
        <w:t xml:space="preserve">Every colour management framework has pros and cons </w:t>
      </w:r>
      <w:proofErr w:type="gramStart"/>
      <w:r w:rsidRPr="004F04B6">
        <w:t>in regard to</w:t>
      </w:r>
      <w:proofErr w:type="gramEnd"/>
      <w:r w:rsidRPr="004F04B6">
        <w:t xml:space="preserve"> workflow and the creative process. Therefore, some Colourists or Cinematographers would rather make use of proprietary frameworks provided by manufacturers like ARRI, RED, </w:t>
      </w:r>
      <w:proofErr w:type="spellStart"/>
      <w:r w:rsidRPr="004F04B6">
        <w:t>BlackMagic</w:t>
      </w:r>
      <w:proofErr w:type="spellEnd"/>
      <w:r w:rsidRPr="004F04B6">
        <w:t xml:space="preserve"> and </w:t>
      </w:r>
      <w:proofErr w:type="spellStart"/>
      <w:r w:rsidRPr="004F04B6">
        <w:t>Filmlight</w:t>
      </w:r>
      <w:proofErr w:type="spellEnd"/>
      <w:r w:rsidRPr="004F04B6">
        <w:t xml:space="preserve"> instead of ACES. The choice for a specific colour management framework is an important choice that is best done before the start of shooting, to ensure that monitoring on-set and the processing of dailies and editorial rushes will be done in this same framework. If such a workflow is set up correctly and well in advance, this increases the likelihood of</w:t>
      </w:r>
      <w:r>
        <w:t xml:space="preserve"> everyone seeing </w:t>
      </w:r>
      <w:proofErr w:type="gramStart"/>
      <w:r>
        <w:t>exactly the same</w:t>
      </w:r>
      <w:proofErr w:type="gramEnd"/>
      <w:r>
        <w:t xml:space="preserve"> </w:t>
      </w:r>
      <w:r w:rsidR="00F1651E" w:rsidRPr="00F1651E">
        <w:t>and the correct images in every step of the process, reducing opportunities for confusion and the risk of getting used to an incorrect image.</w:t>
      </w:r>
    </w:p>
    <w:p w14:paraId="2F80CAFF" w14:textId="3D8149F7" w:rsidR="00FA680E" w:rsidRDefault="00B161A1" w:rsidP="00B161A1">
      <w:pPr>
        <w:pStyle w:val="Heading1"/>
      </w:pPr>
      <w:bookmarkStart w:id="11" w:name="_Conclusion"/>
      <w:bookmarkStart w:id="12" w:name="_Chapter_Six:_Conclusions"/>
      <w:bookmarkEnd w:id="11"/>
      <w:bookmarkEnd w:id="12"/>
      <w:r w:rsidRPr="00442E62">
        <w:rPr>
          <w:b/>
          <w:bCs/>
        </w:rPr>
        <w:t>C</w:t>
      </w:r>
      <w:r w:rsidR="00442E62" w:rsidRPr="00442E62">
        <w:rPr>
          <w:b/>
          <w:bCs/>
        </w:rPr>
        <w:t>hapter Six:</w:t>
      </w:r>
      <w:r w:rsidR="00442E62">
        <w:t xml:space="preserve"> Conclusions</w:t>
      </w:r>
    </w:p>
    <w:p w14:paraId="74AE470A" w14:textId="77777777" w:rsidR="006F5058" w:rsidRPr="006F5058" w:rsidRDefault="006F5058" w:rsidP="006F5058">
      <w:pPr>
        <w:spacing w:after="200" w:line="360" w:lineRule="auto"/>
      </w:pPr>
      <w:r w:rsidRPr="006F5058">
        <w:t>To conclude, our takeaways on the topic of colour spaces are:</w:t>
      </w:r>
    </w:p>
    <w:p w14:paraId="12723446" w14:textId="77777777" w:rsidR="006F5058" w:rsidRDefault="006F5058" w:rsidP="006F5058">
      <w:pPr>
        <w:pStyle w:val="ListParagraph"/>
        <w:numPr>
          <w:ilvl w:val="0"/>
          <w:numId w:val="16"/>
        </w:numPr>
        <w:spacing w:after="200" w:line="360" w:lineRule="auto"/>
      </w:pPr>
      <w:r w:rsidRPr="006F5058">
        <w:t xml:space="preserve">A colour space is a way to agree how to store colour information in a digital file and how to translate that back to viewable colours on a display. </w:t>
      </w:r>
    </w:p>
    <w:p w14:paraId="4C18411F" w14:textId="77777777" w:rsidR="006F5058" w:rsidRDefault="006F5058" w:rsidP="006F5058">
      <w:pPr>
        <w:pStyle w:val="ListParagraph"/>
        <w:numPr>
          <w:ilvl w:val="0"/>
          <w:numId w:val="16"/>
        </w:numPr>
        <w:spacing w:after="200" w:line="360" w:lineRule="auto"/>
      </w:pPr>
      <w:r w:rsidRPr="006F5058">
        <w:lastRenderedPageBreak/>
        <w:t xml:space="preserve">Different display types use different colour spaces, making it necessary to provide different versions of your project for the various delivery requirements. </w:t>
      </w:r>
    </w:p>
    <w:p w14:paraId="40A1984D" w14:textId="77777777" w:rsidR="006F5058" w:rsidRDefault="006F5058" w:rsidP="006F5058">
      <w:pPr>
        <w:pStyle w:val="ListParagraph"/>
        <w:numPr>
          <w:ilvl w:val="0"/>
          <w:numId w:val="16"/>
        </w:numPr>
        <w:spacing w:after="200" w:line="360" w:lineRule="auto"/>
      </w:pPr>
      <w:r w:rsidRPr="006F5058">
        <w:t>Therefore, it is important to know before you start shooting what different formats you will have to deliver your production to. This will help define how much time you will need in final grading, how many grading passes you need and what your delivery list will look like.</w:t>
      </w:r>
    </w:p>
    <w:p w14:paraId="1B673465" w14:textId="77777777" w:rsidR="006F5058" w:rsidRDefault="006F5058" w:rsidP="006F5058">
      <w:pPr>
        <w:pStyle w:val="ListParagraph"/>
        <w:numPr>
          <w:ilvl w:val="0"/>
          <w:numId w:val="16"/>
        </w:numPr>
        <w:spacing w:after="200" w:line="360" w:lineRule="auto"/>
      </w:pPr>
      <w:r w:rsidRPr="006F5058">
        <w:t>There is a difference between display-referred and scene-referred colour spaces</w:t>
      </w:r>
    </w:p>
    <w:p w14:paraId="40FD80B1" w14:textId="77777777" w:rsidR="006F5058" w:rsidRDefault="006F5058" w:rsidP="006F5058">
      <w:pPr>
        <w:pStyle w:val="ListParagraph"/>
        <w:numPr>
          <w:ilvl w:val="0"/>
          <w:numId w:val="16"/>
        </w:numPr>
        <w:spacing w:after="200" w:line="360" w:lineRule="auto"/>
      </w:pPr>
      <w:r w:rsidRPr="006F5058">
        <w:t xml:space="preserve">Putting a colour management framework in place makes it easier to navigate the </w:t>
      </w:r>
      <w:proofErr w:type="gramStart"/>
      <w:r w:rsidRPr="006F5058">
        <w:t>various different</w:t>
      </w:r>
      <w:proofErr w:type="gramEnd"/>
      <w:r w:rsidRPr="006F5058">
        <w:t xml:space="preserve"> inputs and </w:t>
      </w:r>
      <w:proofErr w:type="gramStart"/>
      <w:r w:rsidRPr="006F5058">
        <w:t>outputs, and</w:t>
      </w:r>
      <w:proofErr w:type="gramEnd"/>
      <w:r w:rsidRPr="006F5058">
        <w:t xml:space="preserve"> is a decision that should be taken ideally before start of principal photography, with input by your Cinematographer, Colourist, VFX Supervisor and </w:t>
      </w:r>
      <w:proofErr w:type="gramStart"/>
      <w:r w:rsidRPr="006F5058">
        <w:t>Post Production</w:t>
      </w:r>
      <w:proofErr w:type="gramEnd"/>
      <w:r w:rsidRPr="006F5058">
        <w:t xml:space="preserve"> Supervisor. </w:t>
      </w:r>
    </w:p>
    <w:p w14:paraId="2B258228" w14:textId="77777777" w:rsidR="006F5058" w:rsidRDefault="006F5058" w:rsidP="00DB1994">
      <w:pPr>
        <w:pStyle w:val="ListParagraph"/>
        <w:numPr>
          <w:ilvl w:val="0"/>
          <w:numId w:val="16"/>
        </w:numPr>
        <w:spacing w:after="200" w:line="360" w:lineRule="auto"/>
      </w:pPr>
      <w:r w:rsidRPr="006F5058">
        <w:t>Having a healthy colour managed workflow helps create predictable and trustworthy images.</w:t>
      </w:r>
    </w:p>
    <w:p w14:paraId="687F1407" w14:textId="58FF1178" w:rsidR="00A16E80" w:rsidRPr="006F5058" w:rsidRDefault="00547DD6" w:rsidP="006F5058">
      <w:pPr>
        <w:spacing w:after="200" w:line="360" w:lineRule="auto"/>
        <w:ind w:left="360"/>
      </w:pPr>
      <w:r w:rsidRPr="00E00E76">
        <w:rPr>
          <w:rStyle w:val="Strong"/>
        </w:rPr>
        <w:t>This is the end of the content.</w:t>
      </w:r>
      <w:bookmarkStart w:id="13" w:name="_TITLE:_BASIC_ONBOARDING"/>
      <w:bookmarkStart w:id="14" w:name="_BASIC_ONBOARDING_CHECKLIST"/>
      <w:bookmarkEnd w:id="13"/>
      <w:bookmarkEnd w:id="14"/>
    </w:p>
    <w:sectPr w:rsidR="00A16E80" w:rsidRPr="006F5058" w:rsidSect="00A2324B">
      <w:headerReference w:type="default"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B279" w14:textId="77777777" w:rsidR="003632A1" w:rsidRDefault="003632A1" w:rsidP="00D67E94">
      <w:r>
        <w:separator/>
      </w:r>
    </w:p>
  </w:endnote>
  <w:endnote w:type="continuationSeparator" w:id="0">
    <w:p w14:paraId="43331486" w14:textId="77777777" w:rsidR="003632A1" w:rsidRDefault="003632A1" w:rsidP="00D6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kinson Hyperlegible">
    <w:altName w:val="Calibri"/>
    <w:panose1 w:val="00000000000000000000"/>
    <w:charset w:val="00"/>
    <w:family w:val="modern"/>
    <w:notTrueType/>
    <w:pitch w:val="variable"/>
    <w:sig w:usb0="0000002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773574"/>
      <w:docPartObj>
        <w:docPartGallery w:val="Page Numbers (Bottom of Page)"/>
        <w:docPartUnique/>
      </w:docPartObj>
    </w:sdtPr>
    <w:sdtEndPr>
      <w:rPr>
        <w:noProof/>
      </w:rPr>
    </w:sdtEndPr>
    <w:sdtContent>
      <w:p w14:paraId="5BC90516" w14:textId="3B666F81" w:rsidR="00D67E94" w:rsidRDefault="00D67E94" w:rsidP="00D67E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D044" w14:textId="77777777" w:rsidR="003632A1" w:rsidRDefault="003632A1" w:rsidP="00D67E94">
      <w:r>
        <w:separator/>
      </w:r>
    </w:p>
  </w:footnote>
  <w:footnote w:type="continuationSeparator" w:id="0">
    <w:p w14:paraId="0C5792D5" w14:textId="77777777" w:rsidR="003632A1" w:rsidRDefault="003632A1" w:rsidP="00D6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6AF3" w14:textId="251F3440" w:rsidR="00D67E94" w:rsidRDefault="00D67E94">
    <w:pPr>
      <w:pStyle w:val="Header"/>
    </w:pPr>
    <w:r>
      <w:rPr>
        <w:noProof/>
      </w:rPr>
      <w:drawing>
        <wp:anchor distT="0" distB="0" distL="114300" distR="114300" simplePos="0" relativeHeight="251658240" behindDoc="0" locked="0" layoutInCell="1" allowOverlap="1" wp14:anchorId="7FDA57F1" wp14:editId="3F93FABE">
          <wp:simplePos x="0" y="0"/>
          <wp:positionH relativeFrom="column">
            <wp:posOffset>0</wp:posOffset>
          </wp:positionH>
          <wp:positionV relativeFrom="paragraph">
            <wp:posOffset>-184674</wp:posOffset>
          </wp:positionV>
          <wp:extent cx="1050878" cy="359902"/>
          <wp:effectExtent l="0" t="0" r="0" b="2540"/>
          <wp:wrapNone/>
          <wp:docPr id="1140271473" name="Picture 1" descr="ScreenSkil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71473" name="Picture 1" descr="ScreenSkills logo"/>
                  <pic:cNvPicPr/>
                </pic:nvPicPr>
                <pic:blipFill>
                  <a:blip r:embed="rId1">
                    <a:extLst>
                      <a:ext uri="{28A0092B-C50C-407E-A947-70E740481C1C}">
                        <a14:useLocalDpi xmlns:a14="http://schemas.microsoft.com/office/drawing/2010/main" val="0"/>
                      </a:ext>
                    </a:extLst>
                  </a:blip>
                  <a:stretch>
                    <a:fillRect/>
                  </a:stretch>
                </pic:blipFill>
                <pic:spPr>
                  <a:xfrm>
                    <a:off x="0" y="0"/>
                    <a:ext cx="1050878" cy="3599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85B"/>
    <w:multiLevelType w:val="hybridMultilevel"/>
    <w:tmpl w:val="8C10A394"/>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2A3B42"/>
    <w:multiLevelType w:val="hybridMultilevel"/>
    <w:tmpl w:val="040C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B6C70"/>
    <w:multiLevelType w:val="hybridMultilevel"/>
    <w:tmpl w:val="A5205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5070F"/>
    <w:multiLevelType w:val="hybridMultilevel"/>
    <w:tmpl w:val="516ACF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D2233"/>
    <w:multiLevelType w:val="multilevel"/>
    <w:tmpl w:val="48B23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0BF0176"/>
    <w:multiLevelType w:val="hybridMultilevel"/>
    <w:tmpl w:val="7E52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D587B"/>
    <w:multiLevelType w:val="hybridMultilevel"/>
    <w:tmpl w:val="7648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67C56"/>
    <w:multiLevelType w:val="multilevel"/>
    <w:tmpl w:val="C6FA1A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52A12CA"/>
    <w:multiLevelType w:val="hybridMultilevel"/>
    <w:tmpl w:val="831434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FB0216"/>
    <w:multiLevelType w:val="hybridMultilevel"/>
    <w:tmpl w:val="6708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803A7"/>
    <w:multiLevelType w:val="multilevel"/>
    <w:tmpl w:val="9D6CB48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55892CD2"/>
    <w:multiLevelType w:val="hybridMultilevel"/>
    <w:tmpl w:val="4C3AB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D1C98"/>
    <w:multiLevelType w:val="multilevel"/>
    <w:tmpl w:val="632061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6D9069DD"/>
    <w:multiLevelType w:val="hybridMultilevel"/>
    <w:tmpl w:val="69729638"/>
    <w:lvl w:ilvl="0" w:tplc="6D188E1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1D0AE6"/>
    <w:multiLevelType w:val="hybridMultilevel"/>
    <w:tmpl w:val="8184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E0FE5"/>
    <w:multiLevelType w:val="hybridMultilevel"/>
    <w:tmpl w:val="D3F2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592201">
    <w:abstractNumId w:val="1"/>
  </w:num>
  <w:num w:numId="2" w16cid:durableId="530535971">
    <w:abstractNumId w:val="9"/>
  </w:num>
  <w:num w:numId="3" w16cid:durableId="2096971112">
    <w:abstractNumId w:val="14"/>
  </w:num>
  <w:num w:numId="4" w16cid:durableId="1720394577">
    <w:abstractNumId w:val="5"/>
  </w:num>
  <w:num w:numId="5" w16cid:durableId="70127369">
    <w:abstractNumId w:val="2"/>
  </w:num>
  <w:num w:numId="6" w16cid:durableId="1049763384">
    <w:abstractNumId w:val="15"/>
  </w:num>
  <w:num w:numId="7" w16cid:durableId="1305307337">
    <w:abstractNumId w:val="6"/>
  </w:num>
  <w:num w:numId="8" w16cid:durableId="1248732720">
    <w:abstractNumId w:val="3"/>
  </w:num>
  <w:num w:numId="9" w16cid:durableId="1800032502">
    <w:abstractNumId w:val="13"/>
  </w:num>
  <w:num w:numId="10" w16cid:durableId="166986864">
    <w:abstractNumId w:val="0"/>
  </w:num>
  <w:num w:numId="11" w16cid:durableId="1243877805">
    <w:abstractNumId w:val="8"/>
  </w:num>
  <w:num w:numId="12" w16cid:durableId="1159733453">
    <w:abstractNumId w:val="4"/>
  </w:num>
  <w:num w:numId="13" w16cid:durableId="1342009260">
    <w:abstractNumId w:val="12"/>
  </w:num>
  <w:num w:numId="14" w16cid:durableId="7090665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4474577">
    <w:abstractNumId w:val="7"/>
  </w:num>
  <w:num w:numId="16" w16cid:durableId="19428346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36"/>
    <w:rsid w:val="0004076D"/>
    <w:rsid w:val="00041BB5"/>
    <w:rsid w:val="000473F8"/>
    <w:rsid w:val="00052F24"/>
    <w:rsid w:val="0005393E"/>
    <w:rsid w:val="00055361"/>
    <w:rsid w:val="00062491"/>
    <w:rsid w:val="00066FB3"/>
    <w:rsid w:val="00074EF1"/>
    <w:rsid w:val="0008198E"/>
    <w:rsid w:val="00087601"/>
    <w:rsid w:val="0009029B"/>
    <w:rsid w:val="000930BC"/>
    <w:rsid w:val="000A1B12"/>
    <w:rsid w:val="000A4A45"/>
    <w:rsid w:val="000B1223"/>
    <w:rsid w:val="000E3EB1"/>
    <w:rsid w:val="00116362"/>
    <w:rsid w:val="001255D5"/>
    <w:rsid w:val="00127FFE"/>
    <w:rsid w:val="00141CE8"/>
    <w:rsid w:val="001844F2"/>
    <w:rsid w:val="00194741"/>
    <w:rsid w:val="001A3ADF"/>
    <w:rsid w:val="001A67F5"/>
    <w:rsid w:val="001E529F"/>
    <w:rsid w:val="001F2568"/>
    <w:rsid w:val="002001D8"/>
    <w:rsid w:val="002010D7"/>
    <w:rsid w:val="002168EB"/>
    <w:rsid w:val="00244097"/>
    <w:rsid w:val="002525B5"/>
    <w:rsid w:val="00253182"/>
    <w:rsid w:val="00277ED2"/>
    <w:rsid w:val="00296CD4"/>
    <w:rsid w:val="002C4F78"/>
    <w:rsid w:val="002E5074"/>
    <w:rsid w:val="00323788"/>
    <w:rsid w:val="00336695"/>
    <w:rsid w:val="003400C4"/>
    <w:rsid w:val="00353B1E"/>
    <w:rsid w:val="003632A1"/>
    <w:rsid w:val="00363A3D"/>
    <w:rsid w:val="003844DB"/>
    <w:rsid w:val="00391819"/>
    <w:rsid w:val="00395C6E"/>
    <w:rsid w:val="003D33ED"/>
    <w:rsid w:val="003E010A"/>
    <w:rsid w:val="003E3702"/>
    <w:rsid w:val="003E44EA"/>
    <w:rsid w:val="003E4F16"/>
    <w:rsid w:val="003F4245"/>
    <w:rsid w:val="003F6D35"/>
    <w:rsid w:val="00404088"/>
    <w:rsid w:val="00415E9D"/>
    <w:rsid w:val="00434941"/>
    <w:rsid w:val="00437DFD"/>
    <w:rsid w:val="00441772"/>
    <w:rsid w:val="00442E62"/>
    <w:rsid w:val="00462C8D"/>
    <w:rsid w:val="00463E3D"/>
    <w:rsid w:val="00482AF2"/>
    <w:rsid w:val="0048317D"/>
    <w:rsid w:val="00487483"/>
    <w:rsid w:val="00494865"/>
    <w:rsid w:val="004A0FC2"/>
    <w:rsid w:val="004A4BB3"/>
    <w:rsid w:val="004D3D38"/>
    <w:rsid w:val="004E4B0D"/>
    <w:rsid w:val="004F04B6"/>
    <w:rsid w:val="005038D3"/>
    <w:rsid w:val="005205F3"/>
    <w:rsid w:val="005206DD"/>
    <w:rsid w:val="00525C34"/>
    <w:rsid w:val="0054396A"/>
    <w:rsid w:val="00547DD6"/>
    <w:rsid w:val="00554B7D"/>
    <w:rsid w:val="00564E1D"/>
    <w:rsid w:val="005754A4"/>
    <w:rsid w:val="005801D7"/>
    <w:rsid w:val="0059403F"/>
    <w:rsid w:val="005B09ED"/>
    <w:rsid w:val="005B4DC6"/>
    <w:rsid w:val="005B7D5E"/>
    <w:rsid w:val="005C6F5A"/>
    <w:rsid w:val="005D0555"/>
    <w:rsid w:val="005D27F6"/>
    <w:rsid w:val="005E7BAE"/>
    <w:rsid w:val="00610060"/>
    <w:rsid w:val="00613DE5"/>
    <w:rsid w:val="00625441"/>
    <w:rsid w:val="00626C69"/>
    <w:rsid w:val="00656DDC"/>
    <w:rsid w:val="00667DDB"/>
    <w:rsid w:val="00670AD0"/>
    <w:rsid w:val="006748AB"/>
    <w:rsid w:val="006906DD"/>
    <w:rsid w:val="00690954"/>
    <w:rsid w:val="00697DC3"/>
    <w:rsid w:val="006A641A"/>
    <w:rsid w:val="006B1486"/>
    <w:rsid w:val="006E7AD0"/>
    <w:rsid w:val="006F2D2F"/>
    <w:rsid w:val="006F5058"/>
    <w:rsid w:val="00700564"/>
    <w:rsid w:val="00703F3F"/>
    <w:rsid w:val="007248B9"/>
    <w:rsid w:val="00726AEA"/>
    <w:rsid w:val="0075486F"/>
    <w:rsid w:val="0075549A"/>
    <w:rsid w:val="00766C08"/>
    <w:rsid w:val="00773726"/>
    <w:rsid w:val="007842C8"/>
    <w:rsid w:val="00787088"/>
    <w:rsid w:val="0079173A"/>
    <w:rsid w:val="007961B6"/>
    <w:rsid w:val="007A083D"/>
    <w:rsid w:val="007C7C91"/>
    <w:rsid w:val="007D210A"/>
    <w:rsid w:val="007E2976"/>
    <w:rsid w:val="007E4B52"/>
    <w:rsid w:val="007F1312"/>
    <w:rsid w:val="0081340F"/>
    <w:rsid w:val="008142D7"/>
    <w:rsid w:val="00816587"/>
    <w:rsid w:val="00817D77"/>
    <w:rsid w:val="0082581A"/>
    <w:rsid w:val="00852178"/>
    <w:rsid w:val="0089687E"/>
    <w:rsid w:val="00896E1C"/>
    <w:rsid w:val="008C0A28"/>
    <w:rsid w:val="008D3BE0"/>
    <w:rsid w:val="008F132A"/>
    <w:rsid w:val="00942DB3"/>
    <w:rsid w:val="0095146B"/>
    <w:rsid w:val="009630B4"/>
    <w:rsid w:val="00965F66"/>
    <w:rsid w:val="0098125E"/>
    <w:rsid w:val="009B7036"/>
    <w:rsid w:val="009C540F"/>
    <w:rsid w:val="009F1FC7"/>
    <w:rsid w:val="00A03123"/>
    <w:rsid w:val="00A16E80"/>
    <w:rsid w:val="00A17ACB"/>
    <w:rsid w:val="00A2324B"/>
    <w:rsid w:val="00A24988"/>
    <w:rsid w:val="00A410C9"/>
    <w:rsid w:val="00A51549"/>
    <w:rsid w:val="00A54E15"/>
    <w:rsid w:val="00A74E32"/>
    <w:rsid w:val="00A76734"/>
    <w:rsid w:val="00A77964"/>
    <w:rsid w:val="00A953B2"/>
    <w:rsid w:val="00AA3CF5"/>
    <w:rsid w:val="00AB01FD"/>
    <w:rsid w:val="00AB0984"/>
    <w:rsid w:val="00AB7A20"/>
    <w:rsid w:val="00AC3789"/>
    <w:rsid w:val="00AD1C6D"/>
    <w:rsid w:val="00AD47C6"/>
    <w:rsid w:val="00AE3EBE"/>
    <w:rsid w:val="00AE5E36"/>
    <w:rsid w:val="00AE76EF"/>
    <w:rsid w:val="00AF0863"/>
    <w:rsid w:val="00AF4D22"/>
    <w:rsid w:val="00B03E9E"/>
    <w:rsid w:val="00B058C8"/>
    <w:rsid w:val="00B161A1"/>
    <w:rsid w:val="00B16C24"/>
    <w:rsid w:val="00B35A97"/>
    <w:rsid w:val="00B40C5D"/>
    <w:rsid w:val="00B50FEA"/>
    <w:rsid w:val="00B566C7"/>
    <w:rsid w:val="00B60E71"/>
    <w:rsid w:val="00B63EC7"/>
    <w:rsid w:val="00BA4591"/>
    <w:rsid w:val="00BB198A"/>
    <w:rsid w:val="00BC6044"/>
    <w:rsid w:val="00BD7E9A"/>
    <w:rsid w:val="00C1576E"/>
    <w:rsid w:val="00C2006E"/>
    <w:rsid w:val="00C205B0"/>
    <w:rsid w:val="00C21D28"/>
    <w:rsid w:val="00C25507"/>
    <w:rsid w:val="00C52AD0"/>
    <w:rsid w:val="00C55A49"/>
    <w:rsid w:val="00C60EDD"/>
    <w:rsid w:val="00C65FB3"/>
    <w:rsid w:val="00C803F0"/>
    <w:rsid w:val="00C808AD"/>
    <w:rsid w:val="00C86ADD"/>
    <w:rsid w:val="00C93268"/>
    <w:rsid w:val="00CA0A40"/>
    <w:rsid w:val="00CA22F7"/>
    <w:rsid w:val="00CF150C"/>
    <w:rsid w:val="00CF6196"/>
    <w:rsid w:val="00D0398A"/>
    <w:rsid w:val="00D419C4"/>
    <w:rsid w:val="00D663C0"/>
    <w:rsid w:val="00D672E5"/>
    <w:rsid w:val="00D67E94"/>
    <w:rsid w:val="00D74B25"/>
    <w:rsid w:val="00DB1994"/>
    <w:rsid w:val="00DC7B22"/>
    <w:rsid w:val="00DE539C"/>
    <w:rsid w:val="00E00E76"/>
    <w:rsid w:val="00E07F38"/>
    <w:rsid w:val="00E21D77"/>
    <w:rsid w:val="00E3318F"/>
    <w:rsid w:val="00E36648"/>
    <w:rsid w:val="00E37844"/>
    <w:rsid w:val="00E45868"/>
    <w:rsid w:val="00E55A1E"/>
    <w:rsid w:val="00EA5DB9"/>
    <w:rsid w:val="00EA7537"/>
    <w:rsid w:val="00EB1193"/>
    <w:rsid w:val="00EB2E0D"/>
    <w:rsid w:val="00EC2617"/>
    <w:rsid w:val="00EC3979"/>
    <w:rsid w:val="00ED7D45"/>
    <w:rsid w:val="00EE0E1E"/>
    <w:rsid w:val="00F11C6E"/>
    <w:rsid w:val="00F1651E"/>
    <w:rsid w:val="00F16B23"/>
    <w:rsid w:val="00F17303"/>
    <w:rsid w:val="00F26514"/>
    <w:rsid w:val="00F473BB"/>
    <w:rsid w:val="00F672A6"/>
    <w:rsid w:val="00F95B43"/>
    <w:rsid w:val="00FA680E"/>
    <w:rsid w:val="00FC4DC9"/>
    <w:rsid w:val="00FD42B6"/>
    <w:rsid w:val="00FD56C1"/>
    <w:rsid w:val="00FE0F45"/>
    <w:rsid w:val="00FF6253"/>
    <w:rsid w:val="00FF6BF5"/>
    <w:rsid w:val="00FF7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A6CA"/>
  <w14:defaultImageDpi w14:val="32767"/>
  <w15:chartTrackingRefBased/>
  <w15:docId w15:val="{C90497EA-0C87-434E-93BC-C7308498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5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E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E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E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E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5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E36"/>
    <w:rPr>
      <w:rFonts w:eastAsiaTheme="majorEastAsia" w:cstheme="majorBidi"/>
      <w:color w:val="272727" w:themeColor="text1" w:themeTint="D8"/>
    </w:rPr>
  </w:style>
  <w:style w:type="paragraph" w:styleId="Title">
    <w:name w:val="Title"/>
    <w:basedOn w:val="Normal"/>
    <w:next w:val="Normal"/>
    <w:link w:val="TitleChar"/>
    <w:uiPriority w:val="10"/>
    <w:qFormat/>
    <w:rsid w:val="00AE5E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E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E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5E36"/>
    <w:rPr>
      <w:i/>
      <w:iCs/>
      <w:color w:val="404040" w:themeColor="text1" w:themeTint="BF"/>
    </w:rPr>
  </w:style>
  <w:style w:type="paragraph" w:styleId="ListParagraph">
    <w:name w:val="List Paragraph"/>
    <w:basedOn w:val="Normal"/>
    <w:uiPriority w:val="34"/>
    <w:qFormat/>
    <w:rsid w:val="00AE5E36"/>
    <w:pPr>
      <w:ind w:left="720"/>
      <w:contextualSpacing/>
    </w:pPr>
  </w:style>
  <w:style w:type="character" w:styleId="IntenseEmphasis">
    <w:name w:val="Intense Emphasis"/>
    <w:basedOn w:val="DefaultParagraphFont"/>
    <w:uiPriority w:val="21"/>
    <w:qFormat/>
    <w:rsid w:val="00AE5E36"/>
    <w:rPr>
      <w:i/>
      <w:iCs/>
      <w:color w:val="0F4761" w:themeColor="accent1" w:themeShade="BF"/>
    </w:rPr>
  </w:style>
  <w:style w:type="paragraph" w:styleId="IntenseQuote">
    <w:name w:val="Intense Quote"/>
    <w:basedOn w:val="Normal"/>
    <w:next w:val="Normal"/>
    <w:link w:val="IntenseQuoteChar"/>
    <w:uiPriority w:val="30"/>
    <w:qFormat/>
    <w:rsid w:val="00AE5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E36"/>
    <w:rPr>
      <w:i/>
      <w:iCs/>
      <w:color w:val="0F4761" w:themeColor="accent1" w:themeShade="BF"/>
    </w:rPr>
  </w:style>
  <w:style w:type="character" w:styleId="IntenseReference">
    <w:name w:val="Intense Reference"/>
    <w:basedOn w:val="DefaultParagraphFont"/>
    <w:uiPriority w:val="32"/>
    <w:qFormat/>
    <w:rsid w:val="00AE5E36"/>
    <w:rPr>
      <w:b/>
      <w:bCs/>
      <w:smallCaps/>
      <w:color w:val="0F4761" w:themeColor="accent1" w:themeShade="BF"/>
      <w:spacing w:val="5"/>
    </w:rPr>
  </w:style>
  <w:style w:type="character" w:styleId="Hyperlink">
    <w:name w:val="Hyperlink"/>
    <w:basedOn w:val="DefaultParagraphFont"/>
    <w:uiPriority w:val="99"/>
    <w:unhideWhenUsed/>
    <w:rsid w:val="00AE5E36"/>
    <w:rPr>
      <w:color w:val="467886" w:themeColor="hyperlink"/>
      <w:u w:val="single"/>
    </w:rPr>
  </w:style>
  <w:style w:type="character" w:styleId="UnresolvedMention">
    <w:name w:val="Unresolved Mention"/>
    <w:basedOn w:val="DefaultParagraphFont"/>
    <w:uiPriority w:val="99"/>
    <w:rsid w:val="00AE5E36"/>
    <w:rPr>
      <w:color w:val="605E5C"/>
      <w:shd w:val="clear" w:color="auto" w:fill="E1DFDD"/>
    </w:rPr>
  </w:style>
  <w:style w:type="paragraph" w:styleId="Header">
    <w:name w:val="header"/>
    <w:basedOn w:val="Normal"/>
    <w:link w:val="HeaderChar"/>
    <w:uiPriority w:val="99"/>
    <w:unhideWhenUsed/>
    <w:rsid w:val="00D67E94"/>
    <w:pPr>
      <w:tabs>
        <w:tab w:val="center" w:pos="4513"/>
        <w:tab w:val="right" w:pos="9026"/>
      </w:tabs>
    </w:pPr>
  </w:style>
  <w:style w:type="character" w:customStyle="1" w:styleId="HeaderChar">
    <w:name w:val="Header Char"/>
    <w:basedOn w:val="DefaultParagraphFont"/>
    <w:link w:val="Header"/>
    <w:uiPriority w:val="99"/>
    <w:rsid w:val="00D67E94"/>
  </w:style>
  <w:style w:type="paragraph" w:styleId="Footer">
    <w:name w:val="footer"/>
    <w:basedOn w:val="Normal"/>
    <w:link w:val="FooterChar"/>
    <w:uiPriority w:val="99"/>
    <w:unhideWhenUsed/>
    <w:rsid w:val="00D67E94"/>
    <w:pPr>
      <w:tabs>
        <w:tab w:val="center" w:pos="4513"/>
        <w:tab w:val="right" w:pos="9026"/>
      </w:tabs>
    </w:pPr>
  </w:style>
  <w:style w:type="character" w:customStyle="1" w:styleId="FooterChar">
    <w:name w:val="Footer Char"/>
    <w:basedOn w:val="DefaultParagraphFont"/>
    <w:link w:val="Footer"/>
    <w:uiPriority w:val="99"/>
    <w:rsid w:val="00D67E94"/>
  </w:style>
  <w:style w:type="character" w:styleId="FollowedHyperlink">
    <w:name w:val="FollowedHyperlink"/>
    <w:basedOn w:val="DefaultParagraphFont"/>
    <w:uiPriority w:val="99"/>
    <w:semiHidden/>
    <w:unhideWhenUsed/>
    <w:rsid w:val="003E4F16"/>
    <w:rPr>
      <w:color w:val="96607D" w:themeColor="followedHyperlink"/>
      <w:u w:val="single"/>
    </w:rPr>
  </w:style>
  <w:style w:type="character" w:styleId="Strong">
    <w:name w:val="Strong"/>
    <w:basedOn w:val="DefaultParagraphFont"/>
    <w:uiPriority w:val="22"/>
    <w:qFormat/>
    <w:rsid w:val="00E00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Screenskills script PDF">
      <a:majorFont>
        <a:latin typeface="Atkinson Hyperlegible"/>
        <a:ea typeface=""/>
        <a:cs typeface=""/>
      </a:majorFont>
      <a:minorFont>
        <a:latin typeface="Atkinson Hyperlegibl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002BF1F1483146B697DC7BDBEA5F3C" ma:contentTypeVersion="19" ma:contentTypeDescription="Create a new document." ma:contentTypeScope="" ma:versionID="b5e823001242be4e2c1aa46525f1dc95">
  <xsd:schema xmlns:xsd="http://www.w3.org/2001/XMLSchema" xmlns:xs="http://www.w3.org/2001/XMLSchema" xmlns:p="http://schemas.microsoft.com/office/2006/metadata/properties" xmlns:ns2="424b63c5-d0c5-4370-8cbf-2ba2ecfa5302" xmlns:ns3="09cc8434-75f3-4e8f-8960-5ef497834513" targetNamespace="http://schemas.microsoft.com/office/2006/metadata/properties" ma:root="true" ma:fieldsID="e4495bae8fb9e676ad371aadd1fd602e" ns2:_="" ns3:_="">
    <xsd:import namespace="424b63c5-d0c5-4370-8cbf-2ba2ecfa5302"/>
    <xsd:import namespace="09cc8434-75f3-4e8f-8960-5ef4978345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b63c5-d0c5-4370-8cbf-2ba2ecfa5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b4e3c9-96ea-495c-9f3f-50833d92ea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c8434-75f3-4e8f-8960-5ef4978345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8c5dff-c7c3-471d-a123-f0b90ecae5ac}" ma:internalName="TaxCatchAll" ma:showField="CatchAllData" ma:web="09cc8434-75f3-4e8f-8960-5ef497834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4b63c5-d0c5-4370-8cbf-2ba2ecfa5302">
      <Terms xmlns="http://schemas.microsoft.com/office/infopath/2007/PartnerControls"/>
    </lcf76f155ced4ddcb4097134ff3c332f>
    <TaxCatchAll xmlns="09cc8434-75f3-4e8f-8960-5ef497834513" xsi:nil="true"/>
  </documentManagement>
</p:properties>
</file>

<file path=customXml/itemProps1.xml><?xml version="1.0" encoding="utf-8"?>
<ds:datastoreItem xmlns:ds="http://schemas.openxmlformats.org/officeDocument/2006/customXml" ds:itemID="{EABAB223-835C-4BE6-A386-F14481BF036C}">
  <ds:schemaRefs>
    <ds:schemaRef ds:uri="http://schemas.microsoft.com/sharepoint/v3/contenttype/forms"/>
  </ds:schemaRefs>
</ds:datastoreItem>
</file>

<file path=customXml/itemProps2.xml><?xml version="1.0" encoding="utf-8"?>
<ds:datastoreItem xmlns:ds="http://schemas.openxmlformats.org/officeDocument/2006/customXml" ds:itemID="{36A5E402-3F13-49AF-AB1C-5A05133B69CD}"/>
</file>

<file path=customXml/itemProps3.xml><?xml version="1.0" encoding="utf-8"?>
<ds:datastoreItem xmlns:ds="http://schemas.openxmlformats.org/officeDocument/2006/customXml" ds:itemID="{C4B35029-BC76-42ED-A6A5-B12CF88FCB9B}">
  <ds:schemaRefs>
    <ds:schemaRef ds:uri="http://schemas.microsoft.com/office/2006/metadata/properties"/>
    <ds:schemaRef ds:uri="http://schemas.microsoft.com/office/infopath/2007/PartnerControls"/>
    <ds:schemaRef ds:uri="424b63c5-d0c5-4370-8cbf-2ba2ecfa5302"/>
    <ds:schemaRef ds:uri="09cc8434-75f3-4e8f-8960-5ef497834513"/>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Your guide to onboarding Trainees</vt:lpstr>
    </vt:vector>
  </TitlesOfParts>
  <Manager/>
  <Company/>
  <LinksUpToDate>false</LinksUpToDate>
  <CharactersWithSpaces>13841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ScreenSkills</dc:creator>
  <cp:keywords/>
  <dc:description/>
  <cp:lastModifiedBy>Emma Neely</cp:lastModifiedBy>
  <cp:revision>50</cp:revision>
  <dcterms:created xsi:type="dcterms:W3CDTF">2026-01-28T16:25:00Z</dcterms:created>
  <dcterms:modified xsi:type="dcterms:W3CDTF">2026-02-02T10:26:00Z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0x01010077002BF1F1483146B697DC7BDBEA5F3C</vt:lpwstr>
  </property>
  <property fmtid="{D5CDD505-2E9C-101B-9397-08002B2CF9AE}" pid="3" name="MediaServiceImageTags">
    <vt:lpwstr/>
  </property>
  <property fmtid="{D5CDD505-2E9C-101B-9397-08002B2CF9AE}" pid="4" name="Order">
    <vt:r8>2586900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