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B852" w14:textId="39415EA2" w:rsidR="00AE5E36" w:rsidRPr="00D67E94" w:rsidRDefault="00D41A6C" w:rsidP="00F17303">
      <w:pPr>
        <w:pStyle w:val="Heading1"/>
      </w:pPr>
      <w:r>
        <w:t xml:space="preserve">Aspect Ratio Part </w:t>
      </w:r>
      <w:r w:rsidR="00182E37">
        <w:t>2</w:t>
      </w:r>
    </w:p>
    <w:p w14:paraId="705087A2" w14:textId="351FCA41" w:rsidR="00CA22F7" w:rsidRDefault="002010D7" w:rsidP="00CA22F7">
      <w:pPr>
        <w:spacing w:after="200" w:line="360" w:lineRule="auto"/>
      </w:pPr>
      <w:r>
        <w:t xml:space="preserve">Links </w:t>
      </w:r>
      <w:r w:rsidR="00C86ADD">
        <w:t>for navigation within this document</w:t>
      </w:r>
      <w:r w:rsidR="00965F66">
        <w:t>.</w:t>
      </w:r>
    </w:p>
    <w:p w14:paraId="3136646B" w14:textId="18A169C5" w:rsidR="00965F66" w:rsidRDefault="00965F66" w:rsidP="00CA22F7">
      <w:pPr>
        <w:spacing w:after="200" w:line="360" w:lineRule="auto"/>
      </w:pPr>
      <w:r w:rsidRPr="00965F66">
        <w:t xml:space="preserve">This module is split into </w:t>
      </w:r>
      <w:r w:rsidR="00D41A6C">
        <w:t xml:space="preserve">4 </w:t>
      </w:r>
      <w:r w:rsidRPr="00965F66">
        <w:t>chapters and will cover the following topics:</w:t>
      </w:r>
    </w:p>
    <w:bookmarkStart w:id="0" w:name="_Module_content"/>
    <w:bookmarkEnd w:id="0"/>
    <w:p w14:paraId="63E73660" w14:textId="31BBF4F9" w:rsidR="00107681" w:rsidRPr="00326405" w:rsidRDefault="00326405" w:rsidP="00107681">
      <w:pPr>
        <w:pStyle w:val="ListParagraph"/>
        <w:numPr>
          <w:ilvl w:val="0"/>
          <w:numId w:val="7"/>
        </w:numPr>
        <w:spacing w:after="200" w:line="360" w:lineRule="auto"/>
      </w:pPr>
      <w:r>
        <w:fldChar w:fldCharType="begin"/>
      </w:r>
      <w:r>
        <w:instrText>HYPERLINK  \l "_Introduction"</w:instrText>
      </w:r>
      <w:r>
        <w:fldChar w:fldCharType="separate"/>
      </w:r>
      <w:r w:rsidR="001A3ADF" w:rsidRPr="00326405">
        <w:rPr>
          <w:rStyle w:val="Hyperlink"/>
        </w:rPr>
        <w:t>Intr</w:t>
      </w:r>
      <w:r w:rsidR="001A3ADF" w:rsidRPr="00326405">
        <w:rPr>
          <w:rStyle w:val="Hyperlink"/>
        </w:rPr>
        <w:t>o</w:t>
      </w:r>
      <w:r w:rsidR="001A3ADF" w:rsidRPr="00326405">
        <w:rPr>
          <w:rStyle w:val="Hyperlink"/>
        </w:rPr>
        <w:t>duction</w:t>
      </w:r>
      <w:r>
        <w:fldChar w:fldCharType="end"/>
      </w:r>
    </w:p>
    <w:p w14:paraId="7936D752" w14:textId="1C2E8AB4" w:rsidR="00E56594" w:rsidRDefault="00D41A6C" w:rsidP="00E56594">
      <w:pPr>
        <w:pStyle w:val="ListParagraph"/>
        <w:numPr>
          <w:ilvl w:val="0"/>
          <w:numId w:val="7"/>
        </w:numPr>
        <w:spacing w:after="200" w:line="360" w:lineRule="auto"/>
      </w:pPr>
      <w:hyperlink w:anchor="_Chapter_One:_Letterboxing" w:history="1">
        <w:r w:rsidRPr="00E56594">
          <w:rPr>
            <w:rStyle w:val="Hyperlink"/>
          </w:rPr>
          <w:t>Chapter On</w:t>
        </w:r>
        <w:r w:rsidRPr="00E56594">
          <w:rPr>
            <w:rStyle w:val="Hyperlink"/>
          </w:rPr>
          <w:t>e</w:t>
        </w:r>
        <w:r w:rsidRPr="00E56594">
          <w:rPr>
            <w:rStyle w:val="Hyperlink"/>
          </w:rPr>
          <w:t xml:space="preserve">: </w:t>
        </w:r>
        <w:r w:rsidR="00182E37" w:rsidRPr="00E56594">
          <w:rPr>
            <w:rStyle w:val="Hyperlink"/>
          </w:rPr>
          <w:t>Letterboxin</w:t>
        </w:r>
        <w:r w:rsidR="00182E37" w:rsidRPr="00E56594">
          <w:rPr>
            <w:rStyle w:val="Hyperlink"/>
          </w:rPr>
          <w:t>g</w:t>
        </w:r>
        <w:r w:rsidRPr="00E56594">
          <w:rPr>
            <w:rStyle w:val="Hyperlink"/>
          </w:rPr>
          <w:t xml:space="preserve"> </w:t>
        </w:r>
        <w:r w:rsidR="001905E9" w:rsidRPr="00E56594">
          <w:rPr>
            <w:rStyle w:val="Hyperlink"/>
          </w:rPr>
          <w:t>the image</w:t>
        </w:r>
      </w:hyperlink>
    </w:p>
    <w:p w14:paraId="3B4C813A" w14:textId="5F12C1F4" w:rsidR="00326405" w:rsidRDefault="00326405" w:rsidP="00326405">
      <w:pPr>
        <w:pStyle w:val="ListParagraph"/>
        <w:numPr>
          <w:ilvl w:val="0"/>
          <w:numId w:val="7"/>
        </w:numPr>
        <w:spacing w:after="200" w:line="360" w:lineRule="auto"/>
      </w:pPr>
      <w:hyperlink w:anchor="_Chapter_Two:_Cropping" w:history="1">
        <w:r w:rsidR="00BD7E9A" w:rsidRPr="00326405">
          <w:rPr>
            <w:rStyle w:val="Hyperlink"/>
          </w:rPr>
          <w:t>Chapter Two</w:t>
        </w:r>
        <w:r w:rsidR="00BD7E9A" w:rsidRPr="00326405">
          <w:rPr>
            <w:rStyle w:val="Hyperlink"/>
          </w:rPr>
          <w:t>:</w:t>
        </w:r>
        <w:r w:rsidR="00BD7E9A" w:rsidRPr="00326405">
          <w:rPr>
            <w:rStyle w:val="Hyperlink"/>
          </w:rPr>
          <w:t xml:space="preserve"> </w:t>
        </w:r>
        <w:r w:rsidR="00182E37" w:rsidRPr="00326405">
          <w:rPr>
            <w:rStyle w:val="Hyperlink"/>
          </w:rPr>
          <w:t>Cropping</w:t>
        </w:r>
        <w:r w:rsidR="001905E9" w:rsidRPr="00326405">
          <w:rPr>
            <w:rStyle w:val="Hyperlink"/>
          </w:rPr>
          <w:t xml:space="preserve"> t</w:t>
        </w:r>
        <w:r w:rsidR="001905E9" w:rsidRPr="00326405">
          <w:rPr>
            <w:rStyle w:val="Hyperlink"/>
          </w:rPr>
          <w:t>h</w:t>
        </w:r>
        <w:r w:rsidR="001905E9" w:rsidRPr="00326405">
          <w:rPr>
            <w:rStyle w:val="Hyperlink"/>
          </w:rPr>
          <w:t>e image and pan and scan</w:t>
        </w:r>
      </w:hyperlink>
    </w:p>
    <w:p w14:paraId="4C28AB85" w14:textId="799C7296" w:rsidR="00326405" w:rsidRDefault="00326405" w:rsidP="00326405">
      <w:pPr>
        <w:pStyle w:val="ListParagraph"/>
        <w:numPr>
          <w:ilvl w:val="0"/>
          <w:numId w:val="7"/>
        </w:numPr>
        <w:spacing w:after="200" w:line="360" w:lineRule="auto"/>
      </w:pPr>
      <w:hyperlink w:anchor="_Chapter_Three:_Pillarboxing" w:history="1">
        <w:r w:rsidR="003E3702" w:rsidRPr="00326405">
          <w:rPr>
            <w:rStyle w:val="Hyperlink"/>
          </w:rPr>
          <w:t>C</w:t>
        </w:r>
        <w:r w:rsidR="00442E62" w:rsidRPr="00326405">
          <w:rPr>
            <w:rStyle w:val="Hyperlink"/>
          </w:rPr>
          <w:t>hapter T</w:t>
        </w:r>
        <w:r w:rsidR="00442E62" w:rsidRPr="00326405">
          <w:rPr>
            <w:rStyle w:val="Hyperlink"/>
          </w:rPr>
          <w:t>h</w:t>
        </w:r>
        <w:r w:rsidR="00442E62" w:rsidRPr="00326405">
          <w:rPr>
            <w:rStyle w:val="Hyperlink"/>
          </w:rPr>
          <w:t xml:space="preserve">ree: </w:t>
        </w:r>
        <w:proofErr w:type="spellStart"/>
        <w:r w:rsidR="00182E37" w:rsidRPr="00326405">
          <w:rPr>
            <w:rStyle w:val="Hyperlink"/>
          </w:rPr>
          <w:t>Pillarboxing</w:t>
        </w:r>
        <w:proofErr w:type="spellEnd"/>
        <w:r w:rsidR="00E56594" w:rsidRPr="00326405">
          <w:rPr>
            <w:rStyle w:val="Hyperlink"/>
          </w:rPr>
          <w:t xml:space="preserve"> the image and usi</w:t>
        </w:r>
        <w:r w:rsidR="00E56594" w:rsidRPr="00326405">
          <w:rPr>
            <w:rStyle w:val="Hyperlink"/>
          </w:rPr>
          <w:t>n</w:t>
        </w:r>
        <w:r w:rsidR="00E56594" w:rsidRPr="00326405">
          <w:rPr>
            <w:rStyle w:val="Hyperlink"/>
          </w:rPr>
          <w:t>g archival footage</w:t>
        </w:r>
      </w:hyperlink>
    </w:p>
    <w:p w14:paraId="6388C32C" w14:textId="35B44A51" w:rsidR="005B4DC6" w:rsidRPr="00326405" w:rsidRDefault="00BE2641" w:rsidP="00326405">
      <w:pPr>
        <w:pStyle w:val="ListParagraph"/>
        <w:numPr>
          <w:ilvl w:val="0"/>
          <w:numId w:val="7"/>
        </w:numPr>
        <w:spacing w:after="200" w:line="360" w:lineRule="auto"/>
        <w:rPr>
          <w:rStyle w:val="Hyperlink"/>
          <w:color w:val="auto"/>
          <w:u w:val="none"/>
        </w:rPr>
      </w:pPr>
      <w:r>
        <w:fldChar w:fldCharType="begin"/>
      </w:r>
      <w:r w:rsidR="00326405">
        <w:instrText>HYPERLINK  \l "_Chapter_Four:_Conclusion"</w:instrText>
      </w:r>
      <w:r>
        <w:fldChar w:fldCharType="separate"/>
      </w:r>
      <w:r w:rsidR="00442E62" w:rsidRPr="00A652B1">
        <w:rPr>
          <w:rStyle w:val="Hyperlink"/>
        </w:rPr>
        <w:t xml:space="preserve">Chapter Four: </w:t>
      </w:r>
      <w:r w:rsidR="00182E37" w:rsidRPr="00182E37">
        <w:rPr>
          <w:rStyle w:val="Hyperlink"/>
        </w:rPr>
        <w:t>Conclu</w:t>
      </w:r>
      <w:r w:rsidR="00182E37" w:rsidRPr="00182E37">
        <w:rPr>
          <w:rStyle w:val="Hyperlink"/>
        </w:rPr>
        <w:t>s</w:t>
      </w:r>
      <w:r w:rsidR="00182E37" w:rsidRPr="00182E37">
        <w:rPr>
          <w:rStyle w:val="Hyperlink"/>
        </w:rPr>
        <w:t>ion</w:t>
      </w:r>
    </w:p>
    <w:bookmarkStart w:id="1" w:name="_Introduction"/>
    <w:bookmarkEnd w:id="1"/>
    <w:p w14:paraId="3CB4B00E" w14:textId="59364BAE" w:rsidR="00C55A49" w:rsidRDefault="00BE2641" w:rsidP="00C55A49">
      <w:pPr>
        <w:pStyle w:val="Heading1"/>
      </w:pPr>
      <w:r>
        <w:rPr>
          <w:rFonts w:asciiTheme="minorHAnsi" w:eastAsiaTheme="minorHAnsi" w:hAnsiTheme="minorHAnsi" w:cstheme="minorBidi"/>
          <w:color w:val="auto"/>
          <w:sz w:val="24"/>
          <w:szCs w:val="24"/>
        </w:rPr>
        <w:fldChar w:fldCharType="end"/>
      </w:r>
      <w:r w:rsidR="001A3ADF">
        <w:t>Introduction</w:t>
      </w:r>
    </w:p>
    <w:p w14:paraId="45E0777A" w14:textId="77777777" w:rsidR="00327BD4" w:rsidRPr="00327BD4" w:rsidRDefault="00327BD4" w:rsidP="00327BD4">
      <w:pPr>
        <w:spacing w:after="240" w:line="360" w:lineRule="auto"/>
      </w:pPr>
      <w:r w:rsidRPr="00327BD4">
        <w:t xml:space="preserve">This module is part of the series about post-production, in which we aim to provide a </w:t>
      </w:r>
      <w:proofErr w:type="gramStart"/>
      <w:r w:rsidRPr="00327BD4">
        <w:t>high level</w:t>
      </w:r>
      <w:proofErr w:type="gramEnd"/>
      <w:r w:rsidRPr="00327BD4">
        <w:t xml:space="preserve"> overview of the technical details of the film and TV process that we feel everybody should understand </w:t>
      </w:r>
      <w:proofErr w:type="gramStart"/>
      <w:r w:rsidRPr="00327BD4">
        <w:t>in order to</w:t>
      </w:r>
      <w:proofErr w:type="gramEnd"/>
      <w:r w:rsidRPr="00327BD4">
        <w:t xml:space="preserve"> have a common language. </w:t>
      </w:r>
    </w:p>
    <w:p w14:paraId="202417AA" w14:textId="4F545930" w:rsidR="00327BD4" w:rsidRDefault="00327BD4" w:rsidP="001058C1">
      <w:pPr>
        <w:spacing w:after="240" w:line="360" w:lineRule="auto"/>
      </w:pPr>
      <w:r w:rsidRPr="00327BD4">
        <w:t>This session is part 2 on the topic of Aspect Ratio. If you haven’t reviewed the first part, we suggest referring to that one first. In this second part, we’ll cover what to do when there is a mismatch between the creative aspect ratio and the delivery specifications.</w:t>
      </w:r>
    </w:p>
    <w:p w14:paraId="4FE7FD75" w14:textId="77777777" w:rsidR="001058C1" w:rsidRDefault="001058C1" w:rsidP="00564502">
      <w:pPr>
        <w:spacing w:after="240" w:line="360" w:lineRule="auto"/>
      </w:pPr>
      <w:r w:rsidRPr="001058C1">
        <w:t xml:space="preserve">The common delivery specification used by UK </w:t>
      </w:r>
      <w:proofErr w:type="gramStart"/>
      <w:r w:rsidRPr="001058C1">
        <w:t>broadcasters</w:t>
      </w:r>
      <w:proofErr w:type="gramEnd"/>
      <w:r w:rsidRPr="001058C1">
        <w:t xml:space="preserve"> states, “All new commissions must fill a 16:9 screen vertically and horizontally”. </w:t>
      </w:r>
    </w:p>
    <w:p w14:paraId="16616BB8" w14:textId="77777777" w:rsidR="00564502" w:rsidRPr="00564502" w:rsidRDefault="00564502" w:rsidP="00564502">
      <w:pPr>
        <w:spacing w:after="240" w:line="360" w:lineRule="auto"/>
      </w:pPr>
      <w:r w:rsidRPr="00564502">
        <w:t xml:space="preserve">Remember, in consumer electronics and TV specifications, aspect ratios are often expressed as round numbers as 16x9 or 4x3, where in content creation and cinema, we always define the aspect ratio as width x stands to 1 height. In other words, 16x9 is the same as a 1.78:1 aspect ratio. </w:t>
      </w:r>
    </w:p>
    <w:p w14:paraId="65D7AA1C" w14:textId="326E423E" w:rsidR="00564502" w:rsidRDefault="00564502" w:rsidP="00564502">
      <w:pPr>
        <w:spacing w:line="360" w:lineRule="auto"/>
      </w:pPr>
      <w:r w:rsidRPr="00564502">
        <w:t>On paper, this bars you from choosing any other aspect ratio than 1.78:1, but as mentioned in the previous session, this can sometimes be a conversation. Typically, for a broadcaster to sign off on a different aspect ratio, you will need to provide creative justification before you start shooting with any other aspect ratio in mind.</w:t>
      </w:r>
    </w:p>
    <w:p w14:paraId="605C3088" w14:textId="368D503B" w:rsidR="001058C1" w:rsidRPr="00327BD4" w:rsidRDefault="001905E9" w:rsidP="00327BD4">
      <w:pPr>
        <w:spacing w:line="360" w:lineRule="auto"/>
      </w:pPr>
      <w:r w:rsidRPr="001905E9">
        <w:lastRenderedPageBreak/>
        <w:t xml:space="preserve">What we always want to avoid is that we would need to squeeze the source material to fit the frame, as that would introduce geometric distortion. Circular objects like wheels will no longer be round, and people will appear stouter or thinner than they </w:t>
      </w:r>
      <w:proofErr w:type="gramStart"/>
      <w:r w:rsidRPr="001905E9">
        <w:t>actually are</w:t>
      </w:r>
      <w:proofErr w:type="gramEnd"/>
      <w:r w:rsidRPr="001905E9">
        <w:t>. This is likely to lead to a quality check failure.</w:t>
      </w:r>
    </w:p>
    <w:p w14:paraId="6B60B24A" w14:textId="4E054D0D" w:rsidR="00391819" w:rsidRDefault="00BD7E9A" w:rsidP="002001D8">
      <w:pPr>
        <w:pStyle w:val="Heading1"/>
      </w:pPr>
      <w:bookmarkStart w:id="2" w:name="_Chapter_One:_Letterboxing"/>
      <w:bookmarkEnd w:id="2"/>
      <w:r w:rsidRPr="00BD7E9A">
        <w:rPr>
          <w:b/>
          <w:bCs/>
        </w:rPr>
        <w:t xml:space="preserve">Chapter One: </w:t>
      </w:r>
      <w:r w:rsidR="001905E9">
        <w:t>Letterboxing the image</w:t>
      </w:r>
    </w:p>
    <w:p w14:paraId="02BE10BA" w14:textId="63A25C03" w:rsidR="002256BC" w:rsidRPr="002256BC" w:rsidRDefault="002256BC" w:rsidP="002256BC">
      <w:pPr>
        <w:spacing w:after="240" w:line="360" w:lineRule="auto"/>
      </w:pPr>
      <w:r w:rsidRPr="002256BC">
        <w:t xml:space="preserve">Letterboxing is used when the aspect ratio of the source material is wider than the width of the frame in the master edit. It ensures the entire image is visible but might affect the intended visual impact. It allows </w:t>
      </w:r>
      <w:proofErr w:type="gramStart"/>
      <w:r w:rsidRPr="002256BC">
        <w:t>all of</w:t>
      </w:r>
      <w:proofErr w:type="gramEnd"/>
      <w:r w:rsidRPr="002256BC">
        <w:t xml:space="preserve"> the original image to be seen, but results in black bars at the top or bottom of the frame. </w:t>
      </w:r>
    </w:p>
    <w:p w14:paraId="5094697D" w14:textId="77777777" w:rsidR="002256BC" w:rsidRPr="002256BC" w:rsidRDefault="002256BC" w:rsidP="002256BC">
      <w:pPr>
        <w:spacing w:after="240" w:line="360" w:lineRule="auto"/>
      </w:pPr>
      <w:r w:rsidRPr="002256BC">
        <w:t xml:space="preserve">It’s important to note that black bars are not empty; they are made up of black pixels to pad out the frame to the required size. </w:t>
      </w:r>
    </w:p>
    <w:p w14:paraId="1BDE01A9" w14:textId="689FC9E9" w:rsidR="00853846" w:rsidRDefault="002256BC" w:rsidP="00CC1DE4">
      <w:pPr>
        <w:spacing w:after="240" w:line="360" w:lineRule="auto"/>
      </w:pPr>
      <w:r w:rsidRPr="002256BC">
        <w:t>Most broadcast delivery specs require the letterbox to be vertically centred with black bars of equal height above and below the active picture.</w:t>
      </w:r>
    </w:p>
    <w:p w14:paraId="069B9C66" w14:textId="4F31E3AE" w:rsidR="00CC1DE4" w:rsidRDefault="00CC1DE4" w:rsidP="00392052">
      <w:pPr>
        <w:spacing w:after="240" w:line="360" w:lineRule="auto"/>
      </w:pPr>
      <w:r w:rsidRPr="00CC1DE4">
        <w:t xml:space="preserve">Letterboxing is often used to preserve the creative vision on different devices. For example, you could shoot in 1.85:1 aspect ratio but deliver a 1.78:1 master to a broadcaster by including a small amount of letterboxing. You might choose to do this if you want to have a theatrical release for your production in cinemas as well as a TV release. Even if you don’t intend to show it in cinemas, your Director and </w:t>
      </w:r>
      <w:proofErr w:type="spellStart"/>
      <w:r w:rsidRPr="00CC1DE4">
        <w:t>DoP</w:t>
      </w:r>
      <w:proofErr w:type="spellEnd"/>
      <w:r w:rsidRPr="00CC1DE4">
        <w:t xml:space="preserve"> might prefer the aesthetic of a wider aspect ratio, as it can be thought to be more cinematic.</w:t>
      </w:r>
    </w:p>
    <w:p w14:paraId="40807C57" w14:textId="77777777" w:rsidR="00392052" w:rsidRPr="00392052" w:rsidRDefault="00392052" w:rsidP="00392052">
      <w:pPr>
        <w:spacing w:line="360" w:lineRule="auto"/>
      </w:pPr>
      <w:r w:rsidRPr="00392052">
        <w:t xml:space="preserve">So, what to do when you’ve shot for a creative aspect ratio of 1.85:1 but you </w:t>
      </w:r>
      <w:proofErr w:type="gramStart"/>
      <w:r w:rsidRPr="00392052">
        <w:t>have to</w:t>
      </w:r>
      <w:proofErr w:type="gramEnd"/>
      <w:r w:rsidRPr="00392052">
        <w:t xml:space="preserve"> deliver in a 1.78:1 or 16 by 9 container? You’ve got two options for your mastering and delivery workflow:</w:t>
      </w:r>
    </w:p>
    <w:p w14:paraId="699AC89C" w14:textId="77777777" w:rsidR="006B0947" w:rsidRDefault="00392052" w:rsidP="00392052">
      <w:pPr>
        <w:pStyle w:val="ListParagraph"/>
        <w:numPr>
          <w:ilvl w:val="0"/>
          <w:numId w:val="16"/>
        </w:numPr>
        <w:spacing w:line="360" w:lineRule="auto"/>
      </w:pPr>
      <w:r w:rsidRPr="00392052">
        <w:t>Edit in the native aspect ratio of 1.85:1, and apply letterboxing when creating the 16:9 broadcast master</w:t>
      </w:r>
    </w:p>
    <w:p w14:paraId="4270321A" w14:textId="07283E48" w:rsidR="006B0947" w:rsidRDefault="00392052" w:rsidP="006B0947">
      <w:pPr>
        <w:pStyle w:val="ListParagraph"/>
        <w:numPr>
          <w:ilvl w:val="0"/>
          <w:numId w:val="16"/>
        </w:numPr>
        <w:spacing w:after="240" w:line="360" w:lineRule="auto"/>
      </w:pPr>
      <w:r w:rsidRPr="00392052">
        <w:t>Edit in 16:9, applying a letterbox effect to the shots in the edit to fit 1.85:1 in a 16:9 frame size</w:t>
      </w:r>
    </w:p>
    <w:p w14:paraId="16813985" w14:textId="77777777" w:rsidR="006B0947" w:rsidRPr="006B0947" w:rsidRDefault="006B0947" w:rsidP="006B0947">
      <w:pPr>
        <w:spacing w:line="360" w:lineRule="auto"/>
      </w:pPr>
      <w:r w:rsidRPr="006B0947">
        <w:t>Whichever option makes the most sense depends on your full delivery list.</w:t>
      </w:r>
    </w:p>
    <w:p w14:paraId="76886BB2" w14:textId="77777777" w:rsidR="006B0947" w:rsidRPr="006B0947" w:rsidRDefault="006B0947" w:rsidP="006B0947">
      <w:pPr>
        <w:spacing w:line="360" w:lineRule="auto"/>
      </w:pPr>
    </w:p>
    <w:p w14:paraId="6A987755" w14:textId="77777777" w:rsidR="006B0947" w:rsidRDefault="006B0947" w:rsidP="009B0348">
      <w:pPr>
        <w:spacing w:after="240" w:line="360" w:lineRule="auto"/>
      </w:pPr>
      <w:r w:rsidRPr="006B0947">
        <w:lastRenderedPageBreak/>
        <w:t xml:space="preserve">If we only deliver to television, both options will </w:t>
      </w:r>
      <w:proofErr w:type="gramStart"/>
      <w:r w:rsidRPr="006B0947">
        <w:t>actually work</w:t>
      </w:r>
      <w:proofErr w:type="gramEnd"/>
      <w:r w:rsidRPr="006B0947">
        <w:t xml:space="preserve">. Option 1 will just require us to drop the 1.85:1 editing timeline into a 1.78:1 aspect ratio container, creating slight letterboxing in the process. Whereas option 2 was already prepared for 1.78:1 </w:t>
      </w:r>
      <w:proofErr w:type="gramStart"/>
      <w:r w:rsidRPr="006B0947">
        <w:t>delivery, and</w:t>
      </w:r>
      <w:proofErr w:type="gramEnd"/>
      <w:r w:rsidRPr="006B0947">
        <w:t xml:space="preserve"> can be a straight export without any conversion. </w:t>
      </w:r>
    </w:p>
    <w:p w14:paraId="210269D6" w14:textId="3E62E134" w:rsidR="009B0348" w:rsidRPr="009B0348" w:rsidRDefault="009B0348" w:rsidP="009B0348">
      <w:pPr>
        <w:spacing w:after="240" w:line="360" w:lineRule="auto"/>
      </w:pPr>
      <w:r w:rsidRPr="009B0348">
        <w:t>But if our project will also be shown in cinemas, where 1.85:1 is one of the two standard aspect ratios available to us, we will see a difference between the two options. In this scenario:</w:t>
      </w:r>
    </w:p>
    <w:p w14:paraId="3E7EB67F" w14:textId="74A30052" w:rsidR="009B0348" w:rsidRDefault="009B0348" w:rsidP="008E1617">
      <w:pPr>
        <w:spacing w:after="240" w:line="360" w:lineRule="auto"/>
      </w:pPr>
      <w:r w:rsidRPr="009B0348">
        <w:t>Option 1 was created in 1.85:1 and fits the image container of the DCP that we will have to deliver for cinema release. Option 2 has already been edited into a 1.78:1 container, including letterboxing. For this to fit the 1.85:1 aspect ratio DCP container, we would need to slightly blow up the image to crop off the letterboxing again. Depending on some other parts of the workflow, this process could be damaging to the overall image quality.</w:t>
      </w:r>
    </w:p>
    <w:p w14:paraId="0AB61E27" w14:textId="6529BEC1" w:rsidR="008E1617" w:rsidRDefault="008E1617" w:rsidP="00B7240D">
      <w:pPr>
        <w:spacing w:after="240" w:line="360" w:lineRule="auto"/>
      </w:pPr>
      <w:r w:rsidRPr="008E1617">
        <w:t>Before deciding on your workflow, you should always check your broadcaster’s delivery specification for their policy on letterboxing.</w:t>
      </w:r>
    </w:p>
    <w:p w14:paraId="1D9C74F2" w14:textId="025B7C57" w:rsidR="006B0947" w:rsidRPr="00853846" w:rsidRDefault="00B7240D" w:rsidP="006B0947">
      <w:pPr>
        <w:spacing w:line="360" w:lineRule="auto"/>
      </w:pPr>
      <w:r w:rsidRPr="00B7240D">
        <w:t xml:space="preserve">Some broadcasters don’t like to present content with letterboxing, believing that some viewers are bothered by it. There is research to support this claim, as well as research that debunks it. Nonetheless, you might find that the broadcaster you will deliver to either demands a full frame deliverable or prefers smaller letterboxing like 1.85:1 over 2.39:1.  </w:t>
      </w:r>
    </w:p>
    <w:p w14:paraId="035D7277" w14:textId="1A539868" w:rsidR="007A53E8" w:rsidRDefault="00BD7E9A" w:rsidP="00DA4C44">
      <w:pPr>
        <w:pStyle w:val="Heading1"/>
      </w:pPr>
      <w:bookmarkStart w:id="3" w:name="_Managing_conflict"/>
      <w:bookmarkStart w:id="4" w:name="_Chapter_Two:_"/>
      <w:bookmarkStart w:id="5" w:name="_Chapter_Two:_Development"/>
      <w:bookmarkStart w:id="6" w:name="_Chapter_Two:_The"/>
      <w:bookmarkStart w:id="7" w:name="_Chapter_Two:_Cropping"/>
      <w:bookmarkEnd w:id="3"/>
      <w:bookmarkEnd w:id="4"/>
      <w:bookmarkEnd w:id="5"/>
      <w:bookmarkEnd w:id="6"/>
      <w:bookmarkEnd w:id="7"/>
      <w:r w:rsidRPr="00BD7E9A">
        <w:rPr>
          <w:b/>
          <w:bCs/>
        </w:rPr>
        <w:t xml:space="preserve">Chapter Two: </w:t>
      </w:r>
      <w:r w:rsidR="007A53E8" w:rsidRPr="007A53E8">
        <w:t>Cropping the image and pan and scan</w:t>
      </w:r>
    </w:p>
    <w:p w14:paraId="2D7C157A" w14:textId="586D9208" w:rsidR="007A53E8" w:rsidRDefault="00DA4C44" w:rsidP="002F454A">
      <w:pPr>
        <w:spacing w:after="240" w:line="360" w:lineRule="auto"/>
      </w:pPr>
      <w:r w:rsidRPr="00DA4C44">
        <w:t>An alternative to letterboxing is cropping. When cropping, the image fills the height of the frame, and the parts of the image that are too wide to fit are simply cropped off the sides. This loss of part of the picture may not be an issue when converting 1.85:1 to 16:9 as there is only 2% of the picture cropped from each side, although it lessens the perceived cinematic aesthetic from shooting with a wider aspect ratio.</w:t>
      </w:r>
    </w:p>
    <w:p w14:paraId="229D0D70" w14:textId="77777777" w:rsidR="002F454A" w:rsidRDefault="002F454A" w:rsidP="009963BA">
      <w:pPr>
        <w:spacing w:after="240" w:line="360" w:lineRule="auto"/>
      </w:pPr>
      <w:r w:rsidRPr="002F454A">
        <w:t xml:space="preserve">There could also be a problem if some of the action happens near the extreme left or right edges of the screen, or if captions are placed within these areas. These issues would certainly be a factor if the source aspect ratio is considerably wider than that of the edited </w:t>
      </w:r>
      <w:r w:rsidRPr="002F454A">
        <w:lastRenderedPageBreak/>
        <w:t>master, for example, when trying to present material shot in SCOPE or 2.39:1 within a 1.78:1 (16:9) master.</w:t>
      </w:r>
    </w:p>
    <w:p w14:paraId="03EF2768" w14:textId="6216F15A" w:rsidR="002F454A" w:rsidRPr="007A53E8" w:rsidRDefault="009963BA" w:rsidP="00DA4C44">
      <w:pPr>
        <w:spacing w:line="360" w:lineRule="auto"/>
      </w:pPr>
      <w:r w:rsidRPr="009963BA">
        <w:t>Cropping a picture straight in the middle, without considering the action of the full frame, can result in important visual information at the side edges of the frame being lost. To avoid this, a technique called pan and scan can be used, where the source material is moved from side to side to frame the action on a shot-by-shot basis; sometimes dynamically panning during the shot to follow the area of greatest interest. Most of the time, this produces acceptable results, but if the Director has placed action on both sides of the frame simultaneously, it’s impossible to show both at the same time. Sometimes this even results in shots being</w:t>
      </w:r>
      <w:r w:rsidR="00647EFD">
        <w:t xml:space="preserve"> </w:t>
      </w:r>
      <w:r w:rsidR="00647EFD" w:rsidRPr="00647EFD">
        <w:t xml:space="preserve">re-edited during the pan and scan process, making it two shots </w:t>
      </w:r>
      <w:proofErr w:type="spellStart"/>
      <w:r w:rsidR="00647EFD" w:rsidRPr="00647EFD">
        <w:t>where</w:t>
      </w:r>
      <w:proofErr w:type="spellEnd"/>
      <w:r w:rsidR="00647EFD" w:rsidRPr="00647EFD">
        <w:t xml:space="preserve"> originally there was one.</w:t>
      </w:r>
    </w:p>
    <w:p w14:paraId="17EE7470" w14:textId="15A6FD11" w:rsidR="006B1486" w:rsidRDefault="00442E62" w:rsidP="0048317D">
      <w:pPr>
        <w:pStyle w:val="Heading1"/>
      </w:pPr>
      <w:bookmarkStart w:id="8" w:name="_Chapter_Three:_Production"/>
      <w:bookmarkStart w:id="9" w:name="_Chapter_Three:_Aspect"/>
      <w:bookmarkStart w:id="10" w:name="_Chapter_Three:_Pillarboxing"/>
      <w:bookmarkEnd w:id="8"/>
      <w:bookmarkEnd w:id="9"/>
      <w:bookmarkEnd w:id="10"/>
      <w:r w:rsidRPr="00442E62">
        <w:rPr>
          <w:b/>
          <w:bCs/>
        </w:rPr>
        <w:t>Chapter Three:</w:t>
      </w:r>
      <w:r>
        <w:rPr>
          <w:b/>
          <w:bCs/>
        </w:rPr>
        <w:t xml:space="preserve"> </w:t>
      </w:r>
      <w:proofErr w:type="spellStart"/>
      <w:r w:rsidR="00020CC9" w:rsidRPr="00020CC9">
        <w:t>Pillarboxing</w:t>
      </w:r>
      <w:proofErr w:type="spellEnd"/>
      <w:r w:rsidR="00020CC9" w:rsidRPr="00020CC9">
        <w:t xml:space="preserve"> the image and using archival footage</w:t>
      </w:r>
    </w:p>
    <w:p w14:paraId="22FA618C" w14:textId="3412ACEA" w:rsidR="00020CC9" w:rsidRDefault="009C0E31" w:rsidP="00455A9B">
      <w:pPr>
        <w:spacing w:after="240" w:line="360" w:lineRule="auto"/>
      </w:pPr>
      <w:r w:rsidRPr="009C0E31">
        <w:t xml:space="preserve">When black bars are added to the sides instead of the top and bottom, this is called </w:t>
      </w:r>
      <w:proofErr w:type="spellStart"/>
      <w:r w:rsidRPr="009C0E31">
        <w:t>pillarboxing</w:t>
      </w:r>
      <w:proofErr w:type="spellEnd"/>
      <w:r w:rsidRPr="009C0E31">
        <w:t>. This occurs when 4:3 archive material needs to be cut into a 16:9 master or if you need to include “vertical video” shot on a mobile phone.</w:t>
      </w:r>
    </w:p>
    <w:p w14:paraId="7E1DDD7C" w14:textId="0E2151DE" w:rsidR="00455A9B" w:rsidRPr="00455A9B" w:rsidRDefault="00455A9B" w:rsidP="00455A9B">
      <w:pPr>
        <w:spacing w:after="240" w:line="360" w:lineRule="auto"/>
      </w:pPr>
      <w:r w:rsidRPr="00455A9B">
        <w:t xml:space="preserve">If we allow the source material to fit the height of the frame, this will require the left and right sides of the frame to be padded with black bars. This is called </w:t>
      </w:r>
      <w:proofErr w:type="spellStart"/>
      <w:r w:rsidRPr="00455A9B">
        <w:t>pillarboxing</w:t>
      </w:r>
      <w:proofErr w:type="spellEnd"/>
      <w:r w:rsidRPr="00455A9B">
        <w:t xml:space="preserve">. Most broadcasters’ specs will require the image to be centred with equal black bars on either side. </w:t>
      </w:r>
    </w:p>
    <w:p w14:paraId="37A978E6" w14:textId="5AC6DABA" w:rsidR="00455A9B" w:rsidRDefault="00455A9B" w:rsidP="007B3132">
      <w:pPr>
        <w:spacing w:after="240" w:line="360" w:lineRule="auto"/>
      </w:pPr>
      <w:r w:rsidRPr="00455A9B">
        <w:t>In some cases, it is even specified that the edges of any archive material must be clean. In those cases, any unwanted artefacts should be cropped off from the sides of the image.</w:t>
      </w:r>
    </w:p>
    <w:p w14:paraId="271BC3BD" w14:textId="77777777" w:rsidR="007B3132" w:rsidRDefault="007B3132" w:rsidP="00A96657">
      <w:pPr>
        <w:spacing w:after="240" w:line="360" w:lineRule="auto"/>
      </w:pPr>
      <w:r w:rsidRPr="007B3132">
        <w:t xml:space="preserve">Sometimes these black bars can cover a large percentage of the image canvas, which isn’t </w:t>
      </w:r>
      <w:proofErr w:type="gramStart"/>
      <w:r w:rsidRPr="007B3132">
        <w:t>really attractive</w:t>
      </w:r>
      <w:proofErr w:type="gramEnd"/>
      <w:r w:rsidRPr="007B3132">
        <w:t xml:space="preserve"> to look at. This is particularly true for the presentation of vertical video, so often a blurred or graphic background is used instead. </w:t>
      </w:r>
    </w:p>
    <w:p w14:paraId="6E228E9B" w14:textId="71C6B61D" w:rsidR="00A96657" w:rsidRDefault="00A96657" w:rsidP="007B3132">
      <w:pPr>
        <w:spacing w:line="360" w:lineRule="auto"/>
      </w:pPr>
      <w:r w:rsidRPr="00A96657">
        <w:t xml:space="preserve">If you have control over how mobile phone footage is shot, insist on the user holding the phone in landscape rather than portrait mode. This will avoid the need for </w:t>
      </w:r>
      <w:proofErr w:type="spellStart"/>
      <w:r w:rsidRPr="00A96657">
        <w:t>pillarboxing</w:t>
      </w:r>
      <w:proofErr w:type="spellEnd"/>
      <w:r w:rsidRPr="00A96657">
        <w:t>.</w:t>
      </w:r>
    </w:p>
    <w:p w14:paraId="6F1212B0" w14:textId="77777777" w:rsidR="00ED1838" w:rsidRPr="00ED1838" w:rsidRDefault="00ED1838" w:rsidP="00BB2B7B">
      <w:pPr>
        <w:spacing w:after="240" w:line="360" w:lineRule="auto"/>
      </w:pPr>
      <w:r w:rsidRPr="00ED1838">
        <w:lastRenderedPageBreak/>
        <w:t xml:space="preserve">Another approach with archive material or any pre-existing footage is to let the footage fit the width of the edit master’s frame, which will cause the top and bottom of the original material to be cropped off. You can also use pan and scan here, except this time using vertical movement to frame the action. </w:t>
      </w:r>
    </w:p>
    <w:p w14:paraId="20E0B11F" w14:textId="6002072C" w:rsidR="00ED1838" w:rsidRDefault="00BB2B7B" w:rsidP="004E12C6">
      <w:pPr>
        <w:spacing w:after="240" w:line="360" w:lineRule="auto"/>
      </w:pPr>
      <w:r w:rsidRPr="00BB2B7B">
        <w:t>You will need to assess the picture quality of the archive if you fill the frame with it, as this will require zooming into the original picture, and</w:t>
      </w:r>
      <w:r w:rsidR="0042371B">
        <w:t xml:space="preserve"> </w:t>
      </w:r>
      <w:r w:rsidR="0042371B" w:rsidRPr="0042371B">
        <w:t>undesirable pixelation may become evident. This could be a problem when converting poor quality 4:3 material from old broadcast or Super 8 film for use in an HD or UHD master, which already requires a considerable blow-up in resolution from the original standard definition. But one could argue that this is more about resolution than aspect ratio, which is the topic of another module in this series.</w:t>
      </w:r>
    </w:p>
    <w:p w14:paraId="33276D39" w14:textId="2F5218F7" w:rsidR="007B3132" w:rsidRPr="00020CC9" w:rsidRDefault="004E12C6" w:rsidP="00455A9B">
      <w:pPr>
        <w:spacing w:line="360" w:lineRule="auto"/>
      </w:pPr>
      <w:r w:rsidRPr="004E12C6">
        <w:t xml:space="preserve">To avoid zooming into material too far, you might decide to compromise by using a mix of cropping and </w:t>
      </w:r>
      <w:proofErr w:type="spellStart"/>
      <w:r w:rsidRPr="004E12C6">
        <w:t>pillarboxing</w:t>
      </w:r>
      <w:proofErr w:type="spellEnd"/>
      <w:r w:rsidRPr="004E12C6">
        <w:t>.</w:t>
      </w:r>
    </w:p>
    <w:p w14:paraId="79A4081B" w14:textId="2500CF79" w:rsidR="005B4DC6" w:rsidRDefault="00442E62" w:rsidP="005B4DC6">
      <w:pPr>
        <w:pStyle w:val="Heading1"/>
      </w:pPr>
      <w:bookmarkStart w:id="11" w:name="_Chapter_Four:_Conclusion"/>
      <w:bookmarkEnd w:id="11"/>
      <w:r w:rsidRPr="00442E62">
        <w:rPr>
          <w:b/>
          <w:bCs/>
        </w:rPr>
        <w:t xml:space="preserve">Chapter Four: </w:t>
      </w:r>
      <w:r w:rsidR="004E12C6">
        <w:t>Conclusion</w:t>
      </w:r>
    </w:p>
    <w:p w14:paraId="5449BB76" w14:textId="77777777" w:rsidR="009D19FD" w:rsidRDefault="009D19FD" w:rsidP="009D19FD">
      <w:pPr>
        <w:pStyle w:val="ListParagraph"/>
        <w:numPr>
          <w:ilvl w:val="0"/>
          <w:numId w:val="19"/>
        </w:numPr>
        <w:spacing w:after="200" w:line="360" w:lineRule="auto"/>
      </w:pPr>
      <w:r w:rsidRPr="009D19FD">
        <w:t xml:space="preserve">In summary, aspect ratio conversion is complex, especially when delivering to a variety of platforms. Mistakes can be costly, so </w:t>
      </w:r>
    </w:p>
    <w:p w14:paraId="5D71F32C" w14:textId="77777777" w:rsidR="009D19FD" w:rsidRDefault="009D19FD" w:rsidP="009D19FD">
      <w:pPr>
        <w:pStyle w:val="ListParagraph"/>
        <w:numPr>
          <w:ilvl w:val="0"/>
          <w:numId w:val="19"/>
        </w:numPr>
        <w:spacing w:after="200" w:line="360" w:lineRule="auto"/>
      </w:pPr>
      <w:r w:rsidRPr="009D19FD">
        <w:t xml:space="preserve">Establishing the right workflow from shooting through post and delivery is vital to maintain both the quality of your program and the efficiency of the processes used to get it through to delivery. </w:t>
      </w:r>
    </w:p>
    <w:p w14:paraId="3245CE0B" w14:textId="4961B7CB" w:rsidR="004E12C6" w:rsidRDefault="009D19FD" w:rsidP="00DB1994">
      <w:pPr>
        <w:pStyle w:val="ListParagraph"/>
        <w:numPr>
          <w:ilvl w:val="0"/>
          <w:numId w:val="19"/>
        </w:numPr>
        <w:spacing w:after="200" w:line="360" w:lineRule="auto"/>
      </w:pPr>
      <w:r w:rsidRPr="009D19FD">
        <w:t xml:space="preserve">It is crucial to read and understand the delivery specification even before shooting and it is worth consulting all parties in the decision about the aspect ratio for shooting. Remember that you may need a dispensation from the broadcaster to use letterboxing or </w:t>
      </w:r>
      <w:proofErr w:type="spellStart"/>
      <w:r w:rsidRPr="009D19FD">
        <w:t>pillarboxing</w:t>
      </w:r>
      <w:proofErr w:type="spellEnd"/>
      <w:r w:rsidRPr="009D19FD">
        <w:t xml:space="preserve"> on newly shot material, so consult not just the Director and </w:t>
      </w:r>
      <w:proofErr w:type="spellStart"/>
      <w:r w:rsidRPr="009D19FD">
        <w:t>DoP</w:t>
      </w:r>
      <w:proofErr w:type="spellEnd"/>
      <w:r w:rsidRPr="009D19FD">
        <w:t>, but also the post house and broadcaster before making any decisions!</w:t>
      </w:r>
    </w:p>
    <w:p w14:paraId="687F1407" w14:textId="4D0E2247" w:rsidR="00A16E80" w:rsidRPr="00DB1994" w:rsidRDefault="00547DD6" w:rsidP="00DB1994">
      <w:pPr>
        <w:spacing w:after="200" w:line="360" w:lineRule="auto"/>
        <w:rPr>
          <w:b/>
          <w:bCs/>
        </w:rPr>
      </w:pPr>
      <w:r w:rsidRPr="00E00E76">
        <w:rPr>
          <w:rStyle w:val="Strong"/>
        </w:rPr>
        <w:t>This is the end of the content.</w:t>
      </w:r>
      <w:bookmarkStart w:id="12" w:name="_TITLE:_BASIC_ONBOARDING"/>
      <w:bookmarkStart w:id="13" w:name="_BASIC_ONBOARDING_CHECKLIST"/>
      <w:bookmarkEnd w:id="12"/>
      <w:bookmarkEnd w:id="13"/>
    </w:p>
    <w:sectPr w:rsidR="00A16E80" w:rsidRPr="00DB1994" w:rsidSect="00A2324B">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D899" w14:textId="77777777" w:rsidR="006A3C36" w:rsidRDefault="006A3C36" w:rsidP="00D67E94">
      <w:r>
        <w:separator/>
      </w:r>
    </w:p>
  </w:endnote>
  <w:endnote w:type="continuationSeparator" w:id="0">
    <w:p w14:paraId="5DE6060C" w14:textId="77777777" w:rsidR="006A3C36" w:rsidRDefault="006A3C36" w:rsidP="00D6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panose1 w:val="00000000000000000000"/>
    <w:charset w:val="00"/>
    <w:family w:val="modern"/>
    <w:notTrueType/>
    <w:pitch w:val="variable"/>
    <w:sig w:usb0="0000002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773574"/>
      <w:docPartObj>
        <w:docPartGallery w:val="Page Numbers (Bottom of Page)"/>
        <w:docPartUnique/>
      </w:docPartObj>
    </w:sdtPr>
    <w:sdtEndPr>
      <w:rPr>
        <w:noProof/>
      </w:rPr>
    </w:sdtEndPr>
    <w:sdtContent>
      <w:p w14:paraId="5BC90516" w14:textId="3B666F81" w:rsidR="00D67E94" w:rsidRDefault="00D67E94" w:rsidP="00D67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A657" w14:textId="77777777" w:rsidR="006A3C36" w:rsidRDefault="006A3C36" w:rsidP="00D67E94">
      <w:r>
        <w:separator/>
      </w:r>
    </w:p>
  </w:footnote>
  <w:footnote w:type="continuationSeparator" w:id="0">
    <w:p w14:paraId="24C68DA3" w14:textId="77777777" w:rsidR="006A3C36" w:rsidRDefault="006A3C36" w:rsidP="00D6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6AF3" w14:textId="251F3440" w:rsidR="00D67E94" w:rsidRDefault="00D67E94">
    <w:pPr>
      <w:pStyle w:val="Header"/>
    </w:pPr>
    <w:r>
      <w:rPr>
        <w:noProof/>
      </w:rPr>
      <w:drawing>
        <wp:anchor distT="0" distB="0" distL="114300" distR="114300" simplePos="0" relativeHeight="251658240" behindDoc="0" locked="0" layoutInCell="1" allowOverlap="1" wp14:anchorId="7FDA57F1" wp14:editId="3F93FABE">
          <wp:simplePos x="0" y="0"/>
          <wp:positionH relativeFrom="column">
            <wp:posOffset>0</wp:posOffset>
          </wp:positionH>
          <wp:positionV relativeFrom="paragraph">
            <wp:posOffset>-184674</wp:posOffset>
          </wp:positionV>
          <wp:extent cx="1050878" cy="359902"/>
          <wp:effectExtent l="0" t="0" r="0" b="2540"/>
          <wp:wrapNone/>
          <wp:docPr id="1140271473" name="Picture 1" descr="ScreenSkil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71473" name="Picture 1" descr="ScreenSkills logo"/>
                  <pic:cNvPicPr/>
                </pic:nvPicPr>
                <pic:blipFill>
                  <a:blip r:embed="rId1">
                    <a:extLst>
                      <a:ext uri="{28A0092B-C50C-407E-A947-70E740481C1C}">
                        <a14:useLocalDpi xmlns:a14="http://schemas.microsoft.com/office/drawing/2010/main" val="0"/>
                      </a:ext>
                    </a:extLst>
                  </a:blip>
                  <a:stretch>
                    <a:fillRect/>
                  </a:stretch>
                </pic:blipFill>
                <pic:spPr>
                  <a:xfrm>
                    <a:off x="0" y="0"/>
                    <a:ext cx="1050878" cy="3599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85B"/>
    <w:multiLevelType w:val="hybridMultilevel"/>
    <w:tmpl w:val="8C10A394"/>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2A3B42"/>
    <w:multiLevelType w:val="hybridMultilevel"/>
    <w:tmpl w:val="040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B6C70"/>
    <w:multiLevelType w:val="hybridMultilevel"/>
    <w:tmpl w:val="A5205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070F"/>
    <w:multiLevelType w:val="hybridMultilevel"/>
    <w:tmpl w:val="516ACF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D2233"/>
    <w:multiLevelType w:val="multilevel"/>
    <w:tmpl w:val="48B23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0BF0176"/>
    <w:multiLevelType w:val="hybridMultilevel"/>
    <w:tmpl w:val="7E52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94100"/>
    <w:multiLevelType w:val="hybridMultilevel"/>
    <w:tmpl w:val="BF20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D587B"/>
    <w:multiLevelType w:val="hybridMultilevel"/>
    <w:tmpl w:val="7A2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A12CA"/>
    <w:multiLevelType w:val="hybridMultilevel"/>
    <w:tmpl w:val="831434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A537D9"/>
    <w:multiLevelType w:val="hybridMultilevel"/>
    <w:tmpl w:val="77EE8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FB0216"/>
    <w:multiLevelType w:val="hybridMultilevel"/>
    <w:tmpl w:val="6708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803A7"/>
    <w:multiLevelType w:val="multilevel"/>
    <w:tmpl w:val="9D6CB4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60295C41"/>
    <w:multiLevelType w:val="multilevel"/>
    <w:tmpl w:val="C3F4EC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40D1C98"/>
    <w:multiLevelType w:val="multilevel"/>
    <w:tmpl w:val="632061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55F31CB"/>
    <w:multiLevelType w:val="multilevel"/>
    <w:tmpl w:val="59DA7788"/>
    <w:lvl w:ilvl="0">
      <w:start w:val="1"/>
      <w:numFmt w:val="decimal"/>
      <w:lvlText w:val="%1."/>
      <w:lvlJc w:val="left"/>
      <w:pPr>
        <w:ind w:left="720" w:hanging="360"/>
      </w:pPr>
      <w:rPr>
        <w:strike w:val="0"/>
        <w:dstrike w:val="0"/>
        <w:sz w:val="17"/>
        <w:szCs w:val="17"/>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 w15:restartNumberingAfterBreak="0">
    <w:nsid w:val="6D9069DD"/>
    <w:multiLevelType w:val="hybridMultilevel"/>
    <w:tmpl w:val="69729638"/>
    <w:lvl w:ilvl="0" w:tplc="6D188E1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1D0AE6"/>
    <w:multiLevelType w:val="hybridMultilevel"/>
    <w:tmpl w:val="818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E6ADE"/>
    <w:multiLevelType w:val="hybridMultilevel"/>
    <w:tmpl w:val="37E00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EE0FE5"/>
    <w:multiLevelType w:val="hybridMultilevel"/>
    <w:tmpl w:val="D3F2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592201">
    <w:abstractNumId w:val="1"/>
  </w:num>
  <w:num w:numId="2" w16cid:durableId="530535971">
    <w:abstractNumId w:val="10"/>
  </w:num>
  <w:num w:numId="3" w16cid:durableId="2096971112">
    <w:abstractNumId w:val="16"/>
  </w:num>
  <w:num w:numId="4" w16cid:durableId="1720394577">
    <w:abstractNumId w:val="5"/>
  </w:num>
  <w:num w:numId="5" w16cid:durableId="70127369">
    <w:abstractNumId w:val="2"/>
  </w:num>
  <w:num w:numId="6" w16cid:durableId="1049763384">
    <w:abstractNumId w:val="18"/>
  </w:num>
  <w:num w:numId="7" w16cid:durableId="1305307337">
    <w:abstractNumId w:val="7"/>
  </w:num>
  <w:num w:numId="8" w16cid:durableId="1248732720">
    <w:abstractNumId w:val="3"/>
  </w:num>
  <w:num w:numId="9" w16cid:durableId="1800032502">
    <w:abstractNumId w:val="15"/>
  </w:num>
  <w:num w:numId="10" w16cid:durableId="166986864">
    <w:abstractNumId w:val="0"/>
  </w:num>
  <w:num w:numId="11" w16cid:durableId="1243877805">
    <w:abstractNumId w:val="8"/>
  </w:num>
  <w:num w:numId="12" w16cid:durableId="1159733453">
    <w:abstractNumId w:val="4"/>
  </w:num>
  <w:num w:numId="13" w16cid:durableId="1342009260">
    <w:abstractNumId w:val="13"/>
  </w:num>
  <w:num w:numId="14" w16cid:durableId="709066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897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3145368">
    <w:abstractNumId w:val="17"/>
  </w:num>
  <w:num w:numId="17" w16cid:durableId="917445151">
    <w:abstractNumId w:val="12"/>
  </w:num>
  <w:num w:numId="18" w16cid:durableId="1474374840">
    <w:abstractNumId w:val="9"/>
  </w:num>
  <w:num w:numId="19" w16cid:durableId="464784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36"/>
    <w:rsid w:val="00010F0A"/>
    <w:rsid w:val="00020CC9"/>
    <w:rsid w:val="00041BB5"/>
    <w:rsid w:val="000473F8"/>
    <w:rsid w:val="00052F24"/>
    <w:rsid w:val="0005393E"/>
    <w:rsid w:val="00055361"/>
    <w:rsid w:val="00062491"/>
    <w:rsid w:val="0008198E"/>
    <w:rsid w:val="00087601"/>
    <w:rsid w:val="0009029B"/>
    <w:rsid w:val="000A1B12"/>
    <w:rsid w:val="000A4A45"/>
    <w:rsid w:val="000B1223"/>
    <w:rsid w:val="001058C1"/>
    <w:rsid w:val="00107681"/>
    <w:rsid w:val="00116362"/>
    <w:rsid w:val="001255D5"/>
    <w:rsid w:val="00127FFE"/>
    <w:rsid w:val="00141CE8"/>
    <w:rsid w:val="00182E37"/>
    <w:rsid w:val="001844F2"/>
    <w:rsid w:val="001905E9"/>
    <w:rsid w:val="00194741"/>
    <w:rsid w:val="001A3ADF"/>
    <w:rsid w:val="001A67F5"/>
    <w:rsid w:val="001F2568"/>
    <w:rsid w:val="002001D8"/>
    <w:rsid w:val="002010D7"/>
    <w:rsid w:val="002168EB"/>
    <w:rsid w:val="002256BC"/>
    <w:rsid w:val="00234541"/>
    <w:rsid w:val="00244097"/>
    <w:rsid w:val="00253182"/>
    <w:rsid w:val="00277ED2"/>
    <w:rsid w:val="00296CD4"/>
    <w:rsid w:val="002D5CEC"/>
    <w:rsid w:val="002E21FE"/>
    <w:rsid w:val="002E3FD7"/>
    <w:rsid w:val="002E5074"/>
    <w:rsid w:val="002F454A"/>
    <w:rsid w:val="002F5D3C"/>
    <w:rsid w:val="00323788"/>
    <w:rsid w:val="00326405"/>
    <w:rsid w:val="00327BD4"/>
    <w:rsid w:val="00336695"/>
    <w:rsid w:val="0034479C"/>
    <w:rsid w:val="00353B1E"/>
    <w:rsid w:val="00363A3D"/>
    <w:rsid w:val="003915D5"/>
    <w:rsid w:val="00391819"/>
    <w:rsid w:val="00392052"/>
    <w:rsid w:val="00395C6E"/>
    <w:rsid w:val="003B0EFC"/>
    <w:rsid w:val="003D33ED"/>
    <w:rsid w:val="003E010A"/>
    <w:rsid w:val="003E3702"/>
    <w:rsid w:val="003E44EA"/>
    <w:rsid w:val="003E4F16"/>
    <w:rsid w:val="003F4245"/>
    <w:rsid w:val="003F6D35"/>
    <w:rsid w:val="00415E9D"/>
    <w:rsid w:val="0042371B"/>
    <w:rsid w:val="00434941"/>
    <w:rsid w:val="00437DFD"/>
    <w:rsid w:val="00441772"/>
    <w:rsid w:val="00442E62"/>
    <w:rsid w:val="00455A9B"/>
    <w:rsid w:val="00462C8D"/>
    <w:rsid w:val="00463E3D"/>
    <w:rsid w:val="00482AF2"/>
    <w:rsid w:val="0048317D"/>
    <w:rsid w:val="00490879"/>
    <w:rsid w:val="00494865"/>
    <w:rsid w:val="004A0FC2"/>
    <w:rsid w:val="004A4BB3"/>
    <w:rsid w:val="004C1E9B"/>
    <w:rsid w:val="004D0E51"/>
    <w:rsid w:val="004D3D38"/>
    <w:rsid w:val="004E12C6"/>
    <w:rsid w:val="004E4B0D"/>
    <w:rsid w:val="005205F3"/>
    <w:rsid w:val="005206DD"/>
    <w:rsid w:val="00525C34"/>
    <w:rsid w:val="00536EBB"/>
    <w:rsid w:val="0054396A"/>
    <w:rsid w:val="00547DD6"/>
    <w:rsid w:val="00554B7D"/>
    <w:rsid w:val="00564502"/>
    <w:rsid w:val="00564E1D"/>
    <w:rsid w:val="005754A4"/>
    <w:rsid w:val="005801D7"/>
    <w:rsid w:val="0059403F"/>
    <w:rsid w:val="005B09ED"/>
    <w:rsid w:val="005B4DC6"/>
    <w:rsid w:val="005B5D33"/>
    <w:rsid w:val="005B7D5E"/>
    <w:rsid w:val="005C6F5A"/>
    <w:rsid w:val="005D27F6"/>
    <w:rsid w:val="005E7BAE"/>
    <w:rsid w:val="005F3D20"/>
    <w:rsid w:val="00613DE5"/>
    <w:rsid w:val="00625441"/>
    <w:rsid w:val="00626C69"/>
    <w:rsid w:val="00647EFD"/>
    <w:rsid w:val="00656DDC"/>
    <w:rsid w:val="00667DDB"/>
    <w:rsid w:val="00670AD0"/>
    <w:rsid w:val="006748AB"/>
    <w:rsid w:val="00676EE0"/>
    <w:rsid w:val="006906DD"/>
    <w:rsid w:val="00690954"/>
    <w:rsid w:val="00693CA0"/>
    <w:rsid w:val="006A3A67"/>
    <w:rsid w:val="006A3C36"/>
    <w:rsid w:val="006A641A"/>
    <w:rsid w:val="006B0947"/>
    <w:rsid w:val="006B1486"/>
    <w:rsid w:val="006D0A4E"/>
    <w:rsid w:val="006E7887"/>
    <w:rsid w:val="006E7AD0"/>
    <w:rsid w:val="006F2D2F"/>
    <w:rsid w:val="00700564"/>
    <w:rsid w:val="00703F3F"/>
    <w:rsid w:val="007248B9"/>
    <w:rsid w:val="00725930"/>
    <w:rsid w:val="00726AEA"/>
    <w:rsid w:val="00756761"/>
    <w:rsid w:val="00766C08"/>
    <w:rsid w:val="00773726"/>
    <w:rsid w:val="0079173A"/>
    <w:rsid w:val="00796104"/>
    <w:rsid w:val="007961B6"/>
    <w:rsid w:val="007A53E8"/>
    <w:rsid w:val="007B3132"/>
    <w:rsid w:val="007C7C91"/>
    <w:rsid w:val="007D210A"/>
    <w:rsid w:val="007E2976"/>
    <w:rsid w:val="007E4B52"/>
    <w:rsid w:val="0081340F"/>
    <w:rsid w:val="00816587"/>
    <w:rsid w:val="00817D77"/>
    <w:rsid w:val="0082581A"/>
    <w:rsid w:val="00853846"/>
    <w:rsid w:val="00896E1C"/>
    <w:rsid w:val="008C0A28"/>
    <w:rsid w:val="008D3BE0"/>
    <w:rsid w:val="008E1617"/>
    <w:rsid w:val="008F132A"/>
    <w:rsid w:val="0090310F"/>
    <w:rsid w:val="0095146B"/>
    <w:rsid w:val="009630B4"/>
    <w:rsid w:val="00965F66"/>
    <w:rsid w:val="0098125E"/>
    <w:rsid w:val="00993935"/>
    <w:rsid w:val="009963BA"/>
    <w:rsid w:val="009B0348"/>
    <w:rsid w:val="009B7036"/>
    <w:rsid w:val="009C0E31"/>
    <w:rsid w:val="009C540F"/>
    <w:rsid w:val="009D19FD"/>
    <w:rsid w:val="009D7EAE"/>
    <w:rsid w:val="009F1FC7"/>
    <w:rsid w:val="00A03123"/>
    <w:rsid w:val="00A16E80"/>
    <w:rsid w:val="00A17ACB"/>
    <w:rsid w:val="00A2324B"/>
    <w:rsid w:val="00A24988"/>
    <w:rsid w:val="00A32701"/>
    <w:rsid w:val="00A51549"/>
    <w:rsid w:val="00A56DD9"/>
    <w:rsid w:val="00A652B1"/>
    <w:rsid w:val="00A74E32"/>
    <w:rsid w:val="00A76734"/>
    <w:rsid w:val="00A953B2"/>
    <w:rsid w:val="00A96657"/>
    <w:rsid w:val="00AA3CF5"/>
    <w:rsid w:val="00AA5436"/>
    <w:rsid w:val="00AA7044"/>
    <w:rsid w:val="00AB0984"/>
    <w:rsid w:val="00AB7A20"/>
    <w:rsid w:val="00AC3789"/>
    <w:rsid w:val="00AC3B7B"/>
    <w:rsid w:val="00AD1C6D"/>
    <w:rsid w:val="00AD47C6"/>
    <w:rsid w:val="00AE3EBE"/>
    <w:rsid w:val="00AE5E36"/>
    <w:rsid w:val="00AE76EF"/>
    <w:rsid w:val="00AF4D22"/>
    <w:rsid w:val="00B03E9E"/>
    <w:rsid w:val="00B161A1"/>
    <w:rsid w:val="00B35623"/>
    <w:rsid w:val="00B35A97"/>
    <w:rsid w:val="00B40C5D"/>
    <w:rsid w:val="00B566C7"/>
    <w:rsid w:val="00B60E71"/>
    <w:rsid w:val="00B7240D"/>
    <w:rsid w:val="00B972E7"/>
    <w:rsid w:val="00BA4591"/>
    <w:rsid w:val="00BB198A"/>
    <w:rsid w:val="00BB2B7B"/>
    <w:rsid w:val="00BC6044"/>
    <w:rsid w:val="00BD7E9A"/>
    <w:rsid w:val="00BE2641"/>
    <w:rsid w:val="00C1576E"/>
    <w:rsid w:val="00C2006E"/>
    <w:rsid w:val="00C205B0"/>
    <w:rsid w:val="00C21724"/>
    <w:rsid w:val="00C52AD0"/>
    <w:rsid w:val="00C55A49"/>
    <w:rsid w:val="00C64CCF"/>
    <w:rsid w:val="00C65FB3"/>
    <w:rsid w:val="00C803F0"/>
    <w:rsid w:val="00C85E6F"/>
    <w:rsid w:val="00C86ADD"/>
    <w:rsid w:val="00C90CF7"/>
    <w:rsid w:val="00C93268"/>
    <w:rsid w:val="00CA032C"/>
    <w:rsid w:val="00CA0A40"/>
    <w:rsid w:val="00CA22F7"/>
    <w:rsid w:val="00CC1DE4"/>
    <w:rsid w:val="00CF150C"/>
    <w:rsid w:val="00D0398A"/>
    <w:rsid w:val="00D419C4"/>
    <w:rsid w:val="00D41A6C"/>
    <w:rsid w:val="00D663C0"/>
    <w:rsid w:val="00D672E5"/>
    <w:rsid w:val="00D67E94"/>
    <w:rsid w:val="00D74B25"/>
    <w:rsid w:val="00DA0CF1"/>
    <w:rsid w:val="00DA4C44"/>
    <w:rsid w:val="00DB1994"/>
    <w:rsid w:val="00DC3B64"/>
    <w:rsid w:val="00DC7B22"/>
    <w:rsid w:val="00DE539C"/>
    <w:rsid w:val="00E00E76"/>
    <w:rsid w:val="00E07F38"/>
    <w:rsid w:val="00E10B06"/>
    <w:rsid w:val="00E21D77"/>
    <w:rsid w:val="00E3318F"/>
    <w:rsid w:val="00E36648"/>
    <w:rsid w:val="00E37844"/>
    <w:rsid w:val="00E45868"/>
    <w:rsid w:val="00E55A1E"/>
    <w:rsid w:val="00E56594"/>
    <w:rsid w:val="00EA5DB9"/>
    <w:rsid w:val="00EA7537"/>
    <w:rsid w:val="00EB1193"/>
    <w:rsid w:val="00EC2617"/>
    <w:rsid w:val="00EC3979"/>
    <w:rsid w:val="00ED16B8"/>
    <w:rsid w:val="00ED1838"/>
    <w:rsid w:val="00ED7D45"/>
    <w:rsid w:val="00F11C6E"/>
    <w:rsid w:val="00F16B23"/>
    <w:rsid w:val="00F17303"/>
    <w:rsid w:val="00F26514"/>
    <w:rsid w:val="00F672A6"/>
    <w:rsid w:val="00FA680E"/>
    <w:rsid w:val="00FC4DC9"/>
    <w:rsid w:val="00FD56C1"/>
    <w:rsid w:val="00FE0F45"/>
    <w:rsid w:val="00FF6253"/>
    <w:rsid w:val="00FF6BF5"/>
    <w:rsid w:val="00FF7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A6CA"/>
  <w14:defaultImageDpi w14:val="32767"/>
  <w15:chartTrackingRefBased/>
  <w15:docId w15:val="{C90497EA-0C87-434E-93BC-C7308498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5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E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5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36"/>
    <w:rPr>
      <w:rFonts w:eastAsiaTheme="majorEastAsia" w:cstheme="majorBidi"/>
      <w:color w:val="272727" w:themeColor="text1" w:themeTint="D8"/>
    </w:rPr>
  </w:style>
  <w:style w:type="paragraph" w:styleId="Title">
    <w:name w:val="Title"/>
    <w:basedOn w:val="Normal"/>
    <w:next w:val="Normal"/>
    <w:link w:val="TitleChar"/>
    <w:uiPriority w:val="10"/>
    <w:qFormat/>
    <w:rsid w:val="00AE5E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E36"/>
    <w:rPr>
      <w:i/>
      <w:iCs/>
      <w:color w:val="404040" w:themeColor="text1" w:themeTint="BF"/>
    </w:rPr>
  </w:style>
  <w:style w:type="paragraph" w:styleId="ListParagraph">
    <w:name w:val="List Paragraph"/>
    <w:basedOn w:val="Normal"/>
    <w:uiPriority w:val="34"/>
    <w:qFormat/>
    <w:rsid w:val="00AE5E36"/>
    <w:pPr>
      <w:ind w:left="720"/>
      <w:contextualSpacing/>
    </w:pPr>
  </w:style>
  <w:style w:type="character" w:styleId="IntenseEmphasis">
    <w:name w:val="Intense Emphasis"/>
    <w:basedOn w:val="DefaultParagraphFont"/>
    <w:uiPriority w:val="21"/>
    <w:qFormat/>
    <w:rsid w:val="00AE5E36"/>
    <w:rPr>
      <w:i/>
      <w:iCs/>
      <w:color w:val="0F4761" w:themeColor="accent1" w:themeShade="BF"/>
    </w:rPr>
  </w:style>
  <w:style w:type="paragraph" w:styleId="IntenseQuote">
    <w:name w:val="Intense Quote"/>
    <w:basedOn w:val="Normal"/>
    <w:next w:val="Normal"/>
    <w:link w:val="IntenseQuoteChar"/>
    <w:uiPriority w:val="30"/>
    <w:qFormat/>
    <w:rsid w:val="00AE5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E36"/>
    <w:rPr>
      <w:i/>
      <w:iCs/>
      <w:color w:val="0F4761" w:themeColor="accent1" w:themeShade="BF"/>
    </w:rPr>
  </w:style>
  <w:style w:type="character" w:styleId="IntenseReference">
    <w:name w:val="Intense Reference"/>
    <w:basedOn w:val="DefaultParagraphFont"/>
    <w:uiPriority w:val="32"/>
    <w:qFormat/>
    <w:rsid w:val="00AE5E36"/>
    <w:rPr>
      <w:b/>
      <w:bCs/>
      <w:smallCaps/>
      <w:color w:val="0F4761" w:themeColor="accent1" w:themeShade="BF"/>
      <w:spacing w:val="5"/>
    </w:rPr>
  </w:style>
  <w:style w:type="character" w:styleId="Hyperlink">
    <w:name w:val="Hyperlink"/>
    <w:basedOn w:val="DefaultParagraphFont"/>
    <w:uiPriority w:val="99"/>
    <w:unhideWhenUsed/>
    <w:rsid w:val="00AE5E36"/>
    <w:rPr>
      <w:color w:val="467886" w:themeColor="hyperlink"/>
      <w:u w:val="single"/>
    </w:rPr>
  </w:style>
  <w:style w:type="character" w:styleId="UnresolvedMention">
    <w:name w:val="Unresolved Mention"/>
    <w:basedOn w:val="DefaultParagraphFont"/>
    <w:uiPriority w:val="99"/>
    <w:rsid w:val="00AE5E36"/>
    <w:rPr>
      <w:color w:val="605E5C"/>
      <w:shd w:val="clear" w:color="auto" w:fill="E1DFDD"/>
    </w:rPr>
  </w:style>
  <w:style w:type="paragraph" w:styleId="Header">
    <w:name w:val="header"/>
    <w:basedOn w:val="Normal"/>
    <w:link w:val="HeaderChar"/>
    <w:uiPriority w:val="99"/>
    <w:unhideWhenUsed/>
    <w:rsid w:val="00D67E94"/>
    <w:pPr>
      <w:tabs>
        <w:tab w:val="center" w:pos="4513"/>
        <w:tab w:val="right" w:pos="9026"/>
      </w:tabs>
    </w:pPr>
  </w:style>
  <w:style w:type="character" w:customStyle="1" w:styleId="HeaderChar">
    <w:name w:val="Header Char"/>
    <w:basedOn w:val="DefaultParagraphFont"/>
    <w:link w:val="Header"/>
    <w:uiPriority w:val="99"/>
    <w:rsid w:val="00D67E94"/>
  </w:style>
  <w:style w:type="paragraph" w:styleId="Footer">
    <w:name w:val="footer"/>
    <w:basedOn w:val="Normal"/>
    <w:link w:val="FooterChar"/>
    <w:uiPriority w:val="99"/>
    <w:unhideWhenUsed/>
    <w:rsid w:val="00D67E94"/>
    <w:pPr>
      <w:tabs>
        <w:tab w:val="center" w:pos="4513"/>
        <w:tab w:val="right" w:pos="9026"/>
      </w:tabs>
    </w:pPr>
  </w:style>
  <w:style w:type="character" w:customStyle="1" w:styleId="FooterChar">
    <w:name w:val="Footer Char"/>
    <w:basedOn w:val="DefaultParagraphFont"/>
    <w:link w:val="Footer"/>
    <w:uiPriority w:val="99"/>
    <w:rsid w:val="00D67E94"/>
  </w:style>
  <w:style w:type="character" w:styleId="FollowedHyperlink">
    <w:name w:val="FollowedHyperlink"/>
    <w:basedOn w:val="DefaultParagraphFont"/>
    <w:uiPriority w:val="99"/>
    <w:semiHidden/>
    <w:unhideWhenUsed/>
    <w:rsid w:val="003E4F16"/>
    <w:rPr>
      <w:color w:val="96607D" w:themeColor="followedHyperlink"/>
      <w:u w:val="single"/>
    </w:rPr>
  </w:style>
  <w:style w:type="character" w:styleId="Strong">
    <w:name w:val="Strong"/>
    <w:basedOn w:val="DefaultParagraphFont"/>
    <w:uiPriority w:val="22"/>
    <w:qFormat/>
    <w:rsid w:val="00E00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Screenskills script PDF">
      <a:majorFont>
        <a:latin typeface="Atkinson Hyperlegible"/>
        <a:ea typeface=""/>
        <a:cs typeface=""/>
      </a:majorFont>
      <a:minorFont>
        <a:latin typeface="Atkinson Hyperlegibl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02BF1F1483146B697DC7BDBEA5F3C" ma:contentTypeVersion="19" ma:contentTypeDescription="Create a new document." ma:contentTypeScope="" ma:versionID="b5e823001242be4e2c1aa46525f1dc95">
  <xsd:schema xmlns:xsd="http://www.w3.org/2001/XMLSchema" xmlns:xs="http://www.w3.org/2001/XMLSchema" xmlns:p="http://schemas.microsoft.com/office/2006/metadata/properties" xmlns:ns2="424b63c5-d0c5-4370-8cbf-2ba2ecfa5302" xmlns:ns3="09cc8434-75f3-4e8f-8960-5ef497834513" targetNamespace="http://schemas.microsoft.com/office/2006/metadata/properties" ma:root="true" ma:fieldsID="e4495bae8fb9e676ad371aadd1fd602e" ns2:_="" ns3:_="">
    <xsd:import namespace="424b63c5-d0c5-4370-8cbf-2ba2ecfa5302"/>
    <xsd:import namespace="09cc8434-75f3-4e8f-8960-5ef4978345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b63c5-d0c5-4370-8cbf-2ba2ecfa5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b4e3c9-96ea-495c-9f3f-50833d92e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c8434-75f3-4e8f-8960-5ef4978345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8c5dff-c7c3-471d-a123-f0b90ecae5ac}" ma:internalName="TaxCatchAll" ma:showField="CatchAllData" ma:web="09cc8434-75f3-4e8f-8960-5ef497834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4b63c5-d0c5-4370-8cbf-2ba2ecfa5302">
      <Terms xmlns="http://schemas.microsoft.com/office/infopath/2007/PartnerControls"/>
    </lcf76f155ced4ddcb4097134ff3c332f>
    <TaxCatchAll xmlns="09cc8434-75f3-4e8f-8960-5ef497834513" xsi:nil="true"/>
  </documentManagement>
</p:properties>
</file>

<file path=customXml/itemProps1.xml><?xml version="1.0" encoding="utf-8"?>
<ds:datastoreItem xmlns:ds="http://schemas.openxmlformats.org/officeDocument/2006/customXml" ds:itemID="{46871AE0-B429-4861-A7E3-4EB941AEE2BD}"/>
</file>

<file path=customXml/itemProps2.xml><?xml version="1.0" encoding="utf-8"?>
<ds:datastoreItem xmlns:ds="http://schemas.openxmlformats.org/officeDocument/2006/customXml" ds:itemID="{EABAB223-835C-4BE6-A386-F14481BF036C}">
  <ds:schemaRefs>
    <ds:schemaRef ds:uri="http://schemas.microsoft.com/sharepoint/v3/contenttype/forms"/>
  </ds:schemaRefs>
</ds:datastoreItem>
</file>

<file path=customXml/itemProps3.xml><?xml version="1.0" encoding="utf-8"?>
<ds:datastoreItem xmlns:ds="http://schemas.openxmlformats.org/officeDocument/2006/customXml" ds:itemID="{C4B35029-BC76-42ED-A6A5-B12CF88FCB9B}">
  <ds:schemaRefs>
    <ds:schemaRef ds:uri="http://schemas.microsoft.com/office/2006/metadata/properties"/>
    <ds:schemaRef ds:uri="http://schemas.microsoft.com/office/infopath/2007/PartnerControls"/>
    <ds:schemaRef ds:uri="424b63c5-d0c5-4370-8cbf-2ba2ecfa5302"/>
    <ds:schemaRef ds:uri="09cc8434-75f3-4e8f-8960-5ef49783451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Your guide to onboarding Trainees</vt:lpstr>
    </vt:vector>
  </TitlesOfParts>
  <Manager/>
  <Company/>
  <LinksUpToDate>false</LinksUpToDate>
  <CharactersWithSpaces>9751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ScreenSkills</dc:creator>
  <cp:keywords/>
  <dc:description/>
  <cp:lastModifiedBy>Emma Neely</cp:lastModifiedBy>
  <cp:revision>76</cp:revision>
  <dcterms:created xsi:type="dcterms:W3CDTF">2026-01-28T16:25:00Z</dcterms:created>
  <dcterms:modified xsi:type="dcterms:W3CDTF">2026-02-02T10:36:00Z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0x01010077002BF1F1483146B697DC7BDBEA5F3C</vt:lpwstr>
  </property>
  <property fmtid="{D5CDD505-2E9C-101B-9397-08002B2CF9AE}" pid="3" name="MediaServiceImageTags">
    <vt:lpwstr/>
  </property>
  <property fmtid="{D5CDD505-2E9C-101B-9397-08002B2CF9AE}" pid="4" name="Order">
    <vt:r8>2586800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